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1A1477">
        <w:trPr>
          <w:trHeight w:val="2835"/>
        </w:trPr>
        <w:tc>
          <w:tcPr>
            <w:tcW w:w="2484" w:type="dxa"/>
          </w:tcPr>
          <w:sdt>
            <w:sdtPr>
              <w:alias w:val="Vælg dato"/>
              <w:tag w:val="Vælg dato"/>
              <w:id w:val="-696322164"/>
              <w:placeholder>
                <w:docPart w:val="1102700AAA9243BFBFA7499DA621CF99"/>
              </w:placeholder>
              <w:showingPlcHdr/>
              <w:date>
                <w:dateFormat w:val="d. MMMM yyyy"/>
                <w:lid w:val="da-DK"/>
                <w:storeMappedDataAs w:val="dateTime"/>
                <w:calendar w:val="gregorian"/>
              </w:date>
            </w:sdtPr>
            <w:sdtEndPr/>
            <w:sdtContent>
              <w:p w:rsidR="00F37F63" w:rsidRDefault="00F37F63" w:rsidP="00F37F63">
                <w:pPr>
                  <w:pStyle w:val="Hjrespaltetekst"/>
                  <w:rPr>
                    <w:rFonts w:ascii="Garamond" w:hAnsi="Garamond"/>
                    <w:noProof w:val="0"/>
                    <w:color w:val="auto"/>
                    <w:spacing w:val="0"/>
                    <w:sz w:val="22"/>
                  </w:rPr>
                </w:pPr>
                <w:r>
                  <w:rPr>
                    <w:rStyle w:val="Pladsholdertekst"/>
                  </w:rPr>
                  <w:t>Klik og vælg dato</w:t>
                </w:r>
              </w:p>
            </w:sdtContent>
          </w:sdt>
          <w:p w:rsidR="00F37F63" w:rsidRDefault="00F37F63" w:rsidP="00F37F63">
            <w:pPr>
              <w:pStyle w:val="Template-Dato"/>
            </w:pPr>
            <w:r>
              <w:t xml:space="preserve">J.nr. </w:t>
            </w:r>
            <w:bookmarkStart w:id="0" w:name="sagsnr"/>
            <w:r w:rsidR="001C7304">
              <w:t>14-5230259</w:t>
            </w:r>
            <w:bookmarkEnd w:id="0"/>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FB1FE9" w:rsidRDefault="00600E3E" w:rsidP="001C7304">
      <w:r w:rsidRPr="00684545">
        <w:t xml:space="preserve">Til udvalgets orientering </w:t>
      </w:r>
      <w:r>
        <w:t>vedlægges høringsskema samt de modtagne høringssvar vedr</w:t>
      </w:r>
      <w:r>
        <w:t>ø</w:t>
      </w:r>
      <w:r>
        <w:t>rende forslag til</w:t>
      </w:r>
      <w:r w:rsidRPr="00684545">
        <w:t xml:space="preserve"> </w:t>
      </w:r>
      <w:r w:rsidR="001C7304">
        <w:t>lov om ændring af ligningsloven, boafgiftsloven, fondsbeskatningsloven, skatteforvaltningsloven og forskellige andre love (Skattelypakke om trusts, værdiansætte</w:t>
      </w:r>
      <w:r w:rsidR="001C7304">
        <w:t>l</w:t>
      </w:r>
      <w:r w:rsidR="001C7304">
        <w:t>se af aktiver i forbindelse med bindende svar og international omgåelsesklausul med ge</w:t>
      </w:r>
      <w:r w:rsidR="001C7304">
        <w:t>n</w:t>
      </w:r>
      <w:r w:rsidR="001C7304">
        <w:t>nemførelse af en ændring af moder-/datterselskabsdirektivet, samt udskydelse af selva</w:t>
      </w:r>
      <w:r w:rsidR="001C7304">
        <w:t>n</w:t>
      </w:r>
      <w:r w:rsidR="001C7304">
        <w:t>givelsesfristen for selskaber m.v.</w:t>
      </w:r>
      <w:r w:rsidR="009F4FF8">
        <w:t>,</w:t>
      </w:r>
      <w:r w:rsidR="001C7304">
        <w:t xml:space="preserve"> lempelse af sanktionen ved manglende registrering af underskud</w:t>
      </w:r>
      <w:r w:rsidR="00084369">
        <w:t xml:space="preserve"> og korrektion</w:t>
      </w:r>
      <w:r w:rsidR="009F4FF8">
        <w:t xml:space="preserve"> af satserne for vægtafgift af personbiler m.v.</w:t>
      </w:r>
      <w:r w:rsidR="001C7304">
        <w:t>).</w:t>
      </w:r>
    </w:p>
    <w:p w:rsidR="00967833" w:rsidRDefault="00967833" w:rsidP="00967833"/>
    <w:p w:rsidR="00967833" w:rsidRDefault="00967833" w:rsidP="00967833"/>
    <w:p w:rsidR="00161AF0" w:rsidRDefault="00161AF0" w:rsidP="00161AF0">
      <w:pPr>
        <w:keepNext/>
        <w:keepLines/>
        <w:jc w:val="center"/>
      </w:pPr>
      <w:r>
        <w:t>Benny Engelbrecht</w:t>
      </w:r>
    </w:p>
    <w:p w:rsidR="00967833" w:rsidRDefault="00967833" w:rsidP="00967833">
      <w:pPr>
        <w:keepNext/>
        <w:keepLines/>
        <w:jc w:val="right"/>
      </w:pPr>
      <w:r>
        <w:t xml:space="preserve">/ </w:t>
      </w:r>
      <w:r w:rsidR="001C7304">
        <w:t>Lise Bo Nielsen</w:t>
      </w:r>
    </w:p>
    <w:p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7"/>
        <w:gridCol w:w="80"/>
        <w:gridCol w:w="3713"/>
        <w:gridCol w:w="86"/>
        <w:gridCol w:w="3713"/>
      </w:tblGrid>
      <w:tr w:rsidR="00600E3E" w:rsidTr="005004E8">
        <w:trPr>
          <w:tblHeader/>
        </w:trPr>
        <w:tc>
          <w:tcPr>
            <w:tcW w:w="2093" w:type="dxa"/>
            <w:shd w:val="clear" w:color="auto" w:fill="D1C5C3"/>
            <w:vAlign w:val="center"/>
          </w:tcPr>
          <w:p w:rsidR="00600E3E" w:rsidRDefault="00600E3E" w:rsidP="00B9508F">
            <w:pPr>
              <w:pStyle w:val="Tabel-KolonneOverskrift"/>
            </w:pPr>
            <w:r>
              <w:lastRenderedPageBreak/>
              <w:t>Organisation</w:t>
            </w:r>
          </w:p>
        </w:tc>
        <w:tc>
          <w:tcPr>
            <w:tcW w:w="104" w:type="dxa"/>
            <w:shd w:val="clear" w:color="auto" w:fill="FFFFFF" w:themeFill="background1"/>
            <w:vAlign w:val="center"/>
          </w:tcPr>
          <w:p w:rsidR="00600E3E" w:rsidRDefault="00600E3E" w:rsidP="00B9508F">
            <w:pPr>
              <w:keepNext/>
              <w:keepLines/>
            </w:pPr>
          </w:p>
        </w:tc>
        <w:tc>
          <w:tcPr>
            <w:tcW w:w="3665" w:type="dxa"/>
            <w:shd w:val="clear" w:color="auto" w:fill="D1C5C3" w:themeFill="accent3"/>
            <w:vAlign w:val="center"/>
          </w:tcPr>
          <w:p w:rsidR="00600E3E" w:rsidRDefault="00600E3E" w:rsidP="00B9508F">
            <w:pPr>
              <w:pStyle w:val="Tabel-KolonneOverskrift"/>
            </w:pPr>
            <w:r>
              <w:t>Bemærkninger</w:t>
            </w:r>
          </w:p>
        </w:tc>
        <w:tc>
          <w:tcPr>
            <w:tcW w:w="112" w:type="dxa"/>
            <w:shd w:val="clear" w:color="auto" w:fill="FFFFFF" w:themeFill="background1"/>
            <w:vAlign w:val="center"/>
          </w:tcPr>
          <w:p w:rsidR="00600E3E" w:rsidRDefault="00600E3E" w:rsidP="00B9508F">
            <w:pPr>
              <w:keepNext/>
              <w:keepLines/>
            </w:pPr>
          </w:p>
        </w:tc>
        <w:tc>
          <w:tcPr>
            <w:tcW w:w="3665" w:type="dxa"/>
            <w:shd w:val="clear" w:color="auto" w:fill="14143C" w:themeFill="accent1"/>
            <w:vAlign w:val="center"/>
          </w:tcPr>
          <w:p w:rsidR="00600E3E" w:rsidRDefault="00600E3E" w:rsidP="00B9508F">
            <w:pPr>
              <w:pStyle w:val="Tabel-KolonneOverskriftHvid"/>
            </w:pPr>
            <w:r>
              <w:t>Kommentarer</w:t>
            </w:r>
          </w:p>
        </w:tc>
      </w:tr>
      <w:tr w:rsidR="00815F28" w:rsidRPr="00B5346F" w:rsidTr="005004E8">
        <w:tc>
          <w:tcPr>
            <w:tcW w:w="2093" w:type="dxa"/>
            <w:tcBorders>
              <w:bottom w:val="single" w:sz="4" w:space="0" w:color="D1C5C3" w:themeColor="accent3"/>
            </w:tcBorders>
            <w:shd w:val="clear" w:color="auto" w:fill="FBF9F9"/>
          </w:tcPr>
          <w:p w:rsidR="00815F28" w:rsidRPr="00600E3E" w:rsidRDefault="00F74267" w:rsidP="001A1477">
            <w:pPr>
              <w:pStyle w:val="Tabel-BrdtekstmedafstandptekstGaramond"/>
              <w:rPr>
                <w:i/>
              </w:rPr>
            </w:pPr>
            <w:r>
              <w:rPr>
                <w:i/>
              </w:rPr>
              <w:t>Advokatrådet</w:t>
            </w:r>
          </w:p>
        </w:tc>
        <w:tc>
          <w:tcPr>
            <w:tcW w:w="104" w:type="dxa"/>
            <w:shd w:val="clear" w:color="auto" w:fill="FFFFFF" w:themeFill="background1"/>
          </w:tcPr>
          <w:p w:rsidR="00815F28" w:rsidRPr="00B5346F" w:rsidRDefault="00815F28" w:rsidP="001A1477"/>
        </w:tc>
        <w:tc>
          <w:tcPr>
            <w:tcW w:w="3665" w:type="dxa"/>
            <w:tcBorders>
              <w:bottom w:val="single" w:sz="4" w:space="0" w:color="D1C5C3" w:themeColor="accent3"/>
            </w:tcBorders>
            <w:shd w:val="clear" w:color="auto" w:fill="FBF9F9"/>
          </w:tcPr>
          <w:p w:rsidR="005A32E9" w:rsidRPr="005A32E9" w:rsidRDefault="005A32E9" w:rsidP="005A32E9">
            <w:pPr>
              <w:pStyle w:val="Tabel-BrdtekstmedafstandptekstGaramond"/>
              <w:rPr>
                <w:u w:val="single"/>
              </w:rPr>
            </w:pPr>
            <w:r w:rsidRPr="005A32E9">
              <w:rPr>
                <w:u w:val="single"/>
              </w:rPr>
              <w:t>International omgåelsesklausul</w:t>
            </w:r>
          </w:p>
          <w:p w:rsidR="00D76E37" w:rsidRDefault="00D76E37" w:rsidP="005A32E9">
            <w:pPr>
              <w:pStyle w:val="Tabel-BrdtekstmedafstandptekstGaramond"/>
            </w:pPr>
            <w:r>
              <w:t xml:space="preserve">Advokatrådet er af den opfattelse, at den internationale omgåelsesklausul medfører betydelig </w:t>
            </w:r>
            <w:proofErr w:type="spellStart"/>
            <w:r>
              <w:t>retsusikkerhed</w:t>
            </w:r>
            <w:proofErr w:type="spellEnd"/>
            <w:r>
              <w:t>, idet bestemmelsen er for bredt fo</w:t>
            </w:r>
            <w:r>
              <w:t>r</w:t>
            </w:r>
            <w:r>
              <w:t xml:space="preserve">muleret. Advokatrådet henstiller, at formuleringen genovervejes, særligt på grund af </w:t>
            </w:r>
            <w:r w:rsidR="00383E7E">
              <w:t>frygten</w:t>
            </w:r>
            <w:r>
              <w:t xml:space="preserve"> for, at SKAT vil nægte et stort antal selskaber fordele</w:t>
            </w:r>
            <w:r w:rsidR="00383E7E">
              <w:t xml:space="preserve"> efter direktiverne og dobbeltbeska</w:t>
            </w:r>
            <w:r w:rsidR="00383E7E">
              <w:t>t</w:t>
            </w:r>
            <w:r w:rsidR="00383E7E">
              <w:t>ningsoverenskomsterne.</w:t>
            </w:r>
          </w:p>
          <w:p w:rsidR="00D76E37" w:rsidRDefault="00D76E37" w:rsidP="005A32E9">
            <w:pPr>
              <w:pStyle w:val="Tabel-BrdtekstmedafstandptekstGaramond"/>
            </w:pPr>
          </w:p>
          <w:p w:rsidR="00622E80" w:rsidRDefault="00622E80" w:rsidP="005A32E9">
            <w:pPr>
              <w:pStyle w:val="Tabel-BrdtekstmedafstandptekstGaramond"/>
            </w:pPr>
            <w:r>
              <w:t>Advokatrådet mener det bør overv</w:t>
            </w:r>
            <w:r>
              <w:t>e</w:t>
            </w:r>
            <w:r>
              <w:t>jes, om indførelsen af en omgåelse</w:t>
            </w:r>
            <w:r>
              <w:t>s</w:t>
            </w:r>
            <w:r>
              <w:t>bestemmelse på eksisterende ove</w:t>
            </w:r>
            <w:r>
              <w:t>r</w:t>
            </w:r>
            <w:r>
              <w:t>enskomster, hvori der ikke er indsat en omgåelsesklausul, vil kunne me</w:t>
            </w:r>
            <w:r>
              <w:t>d</w:t>
            </w:r>
            <w:r>
              <w:t>føre, at Danmarks aftaleparter vil o</w:t>
            </w:r>
            <w:r>
              <w:t>p</w:t>
            </w:r>
            <w:r>
              <w:t>fatte dette som en opsigelse af ove</w:t>
            </w:r>
            <w:r>
              <w:t>r</w:t>
            </w:r>
            <w:r>
              <w:t>enskomsten.</w:t>
            </w:r>
          </w:p>
          <w:p w:rsidR="005A32E9" w:rsidRDefault="005A32E9" w:rsidP="005A32E9">
            <w:pPr>
              <w:pStyle w:val="Tabel-BrdtekstmedafstandptekstGaramond"/>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622E80" w:rsidRDefault="00622E80" w:rsidP="005A32E9">
            <w:pPr>
              <w:pStyle w:val="Tabel-BrdtekstmedafstandptekstGaramond"/>
              <w:rPr>
                <w:u w:val="single"/>
              </w:rPr>
            </w:pPr>
          </w:p>
          <w:p w:rsidR="00F44639" w:rsidRDefault="00F44639" w:rsidP="005A32E9">
            <w:pPr>
              <w:pStyle w:val="Tabel-BrdtekstmedafstandptekstGaramond"/>
              <w:rPr>
                <w:u w:val="single"/>
              </w:rPr>
            </w:pPr>
          </w:p>
          <w:p w:rsidR="00087EB8" w:rsidRDefault="00087EB8" w:rsidP="005A32E9">
            <w:pPr>
              <w:pStyle w:val="Tabel-BrdtekstmedafstandptekstGaramond"/>
              <w:rPr>
                <w:u w:val="single"/>
              </w:rPr>
            </w:pPr>
          </w:p>
          <w:p w:rsidR="00087EB8" w:rsidRDefault="00087EB8" w:rsidP="005A32E9">
            <w:pPr>
              <w:pStyle w:val="Tabel-BrdtekstmedafstandptekstGaramond"/>
              <w:rPr>
                <w:u w:val="single"/>
              </w:rPr>
            </w:pPr>
          </w:p>
          <w:p w:rsidR="00D47FBD" w:rsidRDefault="00D47FBD" w:rsidP="005A32E9">
            <w:pPr>
              <w:pStyle w:val="Tabel-BrdtekstmedafstandptekstGaramond"/>
              <w:rPr>
                <w:u w:val="single"/>
              </w:rPr>
            </w:pPr>
          </w:p>
          <w:p w:rsidR="00D47FBD" w:rsidRPr="00D47FBD" w:rsidRDefault="00D47FBD" w:rsidP="005A32E9">
            <w:pPr>
              <w:pStyle w:val="Tabel-BrdtekstmedafstandptekstGaramond"/>
            </w:pPr>
            <w:r>
              <w:t>Advokatrådet</w:t>
            </w:r>
            <w:r w:rsidR="00CD3B49">
              <w:t xml:space="preserve"> finder det er uklart</w:t>
            </w:r>
            <w:r w:rsidR="00961B28">
              <w:t>,</w:t>
            </w:r>
            <w:r w:rsidR="00CD3B49">
              <w:t xml:space="preserve"> om skattefrie omstruktureringer</w:t>
            </w:r>
            <w:r w:rsidR="00961B28">
              <w:t>,</w:t>
            </w:r>
            <w:r w:rsidR="00CD3B49">
              <w:t xml:space="preserve"> som gennemføres efter de objektive regler i fusionsskatteloven og aktieavanc</w:t>
            </w:r>
            <w:r w:rsidR="00CD3B49">
              <w:t>e</w:t>
            </w:r>
            <w:r w:rsidR="00CD3B49">
              <w:t>beskatningsloven uden tilladelse fra SKAT, kan blive skattepligtige efter omgåelsesklausulen, selvom betinge</w:t>
            </w:r>
            <w:r w:rsidR="00CD3B49">
              <w:t>l</w:t>
            </w:r>
            <w:r w:rsidR="00CD3B49">
              <w:t>serne for at gennemføre omstruktur</w:t>
            </w:r>
            <w:r w:rsidR="00CD3B49">
              <w:t>e</w:t>
            </w:r>
            <w:r w:rsidR="00CD3B49">
              <w:t>ringer efter de objektive regler er til stede.</w:t>
            </w:r>
          </w:p>
          <w:p w:rsidR="00333AA9" w:rsidRDefault="00333AA9" w:rsidP="005A32E9">
            <w:pPr>
              <w:pStyle w:val="Tabel-BrdtekstmedafstandptekstGaramond"/>
              <w:rPr>
                <w:u w:val="single"/>
              </w:rPr>
            </w:pPr>
          </w:p>
          <w:p w:rsidR="005A32E9" w:rsidRDefault="005A32E9" w:rsidP="005A32E9">
            <w:pPr>
              <w:pStyle w:val="Tabel-BrdtekstmedafstandptekstGaramond"/>
            </w:pPr>
            <w:r>
              <w:rPr>
                <w:u w:val="single"/>
              </w:rPr>
              <w:t>Trusts</w:t>
            </w:r>
          </w:p>
          <w:p w:rsidR="005A32E9" w:rsidRDefault="005A32E9" w:rsidP="005A32E9">
            <w:pPr>
              <w:pStyle w:val="Tabel-BrdtekstmedafstandptekstGaramond"/>
            </w:pPr>
            <w:r>
              <w:t xml:space="preserve">Advokatrådet finder det betænkeligt, at bestemmelsen ikke indeholder en definition af begrebet ”trust”. Denne betænkelighed styrkes af, at der i dansk ret ikke eksisterer en anerkendt forståelse af begrebet. </w:t>
            </w:r>
          </w:p>
          <w:p w:rsidR="005A32E9" w:rsidRDefault="005A32E9"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6645B7" w:rsidRDefault="006645B7" w:rsidP="005A32E9">
            <w:pPr>
              <w:pStyle w:val="Tabel-BrdtekstmedafstandptekstGaramond"/>
            </w:pPr>
          </w:p>
          <w:p w:rsidR="009922E3" w:rsidRDefault="009922E3" w:rsidP="005A32E9">
            <w:pPr>
              <w:pStyle w:val="Tabel-BrdtekstmedafstandptekstGaramond"/>
            </w:pPr>
          </w:p>
          <w:p w:rsidR="00333AA9" w:rsidRDefault="00333AA9" w:rsidP="005A32E9">
            <w:pPr>
              <w:pStyle w:val="Tabel-BrdtekstmedafstandptekstGaramond"/>
            </w:pPr>
          </w:p>
          <w:p w:rsidR="00333AA9" w:rsidRDefault="00333AA9" w:rsidP="005A32E9">
            <w:pPr>
              <w:pStyle w:val="Tabel-BrdtekstmedafstandptekstGaramond"/>
            </w:pPr>
          </w:p>
          <w:p w:rsidR="00365201" w:rsidRDefault="00365201" w:rsidP="005A32E9">
            <w:pPr>
              <w:pStyle w:val="Tabel-BrdtekstmedafstandptekstGaramond"/>
            </w:pPr>
          </w:p>
          <w:p w:rsidR="00961B28" w:rsidRDefault="00961B28" w:rsidP="005A32E9">
            <w:pPr>
              <w:pStyle w:val="Tabel-BrdtekstmedafstandptekstGaramond"/>
            </w:pPr>
          </w:p>
          <w:p w:rsidR="00961B28" w:rsidRDefault="00961B28" w:rsidP="005A32E9">
            <w:pPr>
              <w:pStyle w:val="Tabel-BrdtekstmedafstandptekstGaramond"/>
            </w:pPr>
          </w:p>
          <w:p w:rsidR="00961B28" w:rsidRDefault="00961B28" w:rsidP="005A32E9">
            <w:pPr>
              <w:pStyle w:val="Tabel-BrdtekstmedafstandptekstGaramond"/>
            </w:pPr>
          </w:p>
          <w:p w:rsidR="00961B28" w:rsidRDefault="00961B28" w:rsidP="005A32E9">
            <w:pPr>
              <w:pStyle w:val="Tabel-BrdtekstmedafstandptekstGaramond"/>
            </w:pPr>
          </w:p>
          <w:p w:rsidR="00961B28" w:rsidRDefault="00961B28" w:rsidP="005A32E9">
            <w:pPr>
              <w:pStyle w:val="Tabel-BrdtekstmedafstandptekstGaramond"/>
            </w:pPr>
          </w:p>
          <w:p w:rsidR="00365201" w:rsidRDefault="00365201" w:rsidP="005A32E9">
            <w:pPr>
              <w:pStyle w:val="Tabel-BrdtekstmedafstandptekstGaramond"/>
            </w:pPr>
          </w:p>
          <w:p w:rsidR="00365201" w:rsidRDefault="00365201" w:rsidP="005A32E9">
            <w:pPr>
              <w:pStyle w:val="Tabel-BrdtekstmedafstandptekstGaramond"/>
            </w:pPr>
          </w:p>
          <w:p w:rsidR="005A32E9" w:rsidRDefault="005A32E9" w:rsidP="005A32E9">
            <w:pPr>
              <w:pStyle w:val="Tabel-BrdtekstmedafstandptekstGaramond"/>
            </w:pPr>
            <w:r>
              <w:t>Advokatrådet spørger, om en trust vil være fritaget fra bestemmelsen, hvis lovgivningen for trusten kræver end</w:t>
            </w:r>
            <w:r>
              <w:t>e</w:t>
            </w:r>
            <w:r>
              <w:t>ligt og uigenkaldeligt afkald på form</w:t>
            </w:r>
            <w:r>
              <w:t>u</w:t>
            </w:r>
            <w:r>
              <w:t xml:space="preserve">en. </w:t>
            </w:r>
          </w:p>
          <w:p w:rsidR="005A32E9" w:rsidRDefault="005A32E9" w:rsidP="005A32E9">
            <w:pPr>
              <w:pStyle w:val="Tabel-BrdtekstmedafstandptekstGaramond"/>
            </w:pPr>
          </w:p>
          <w:p w:rsidR="009922E3" w:rsidRDefault="009922E3" w:rsidP="005A32E9">
            <w:pPr>
              <w:pStyle w:val="Tabel-BrdtekstmedafstandptekstGaramond"/>
            </w:pPr>
          </w:p>
          <w:p w:rsidR="00365201" w:rsidRDefault="00365201" w:rsidP="005A32E9">
            <w:pPr>
              <w:pStyle w:val="Tabel-BrdtekstmedafstandptekstGaramond"/>
            </w:pPr>
          </w:p>
          <w:p w:rsidR="00DC63A6" w:rsidRDefault="00DC63A6" w:rsidP="005A32E9">
            <w:pPr>
              <w:pStyle w:val="Tabel-BrdtekstmedafstandptekstGaramond"/>
            </w:pPr>
          </w:p>
          <w:p w:rsidR="005A32E9" w:rsidRDefault="005A32E9" w:rsidP="005A32E9">
            <w:pPr>
              <w:pStyle w:val="Tabel-BrdtekstmedafstandptekstGaramond"/>
            </w:pPr>
            <w:r>
              <w:t>Advokatrådet finder, at der ikke er t</w:t>
            </w:r>
            <w:r>
              <w:t>a</w:t>
            </w:r>
            <w:r>
              <w:t>le om endeligt og uigenkaldeligt a</w:t>
            </w:r>
            <w:r>
              <w:t>f</w:t>
            </w:r>
            <w:r>
              <w:t xml:space="preserve">kald på formuen, hvis lovgivningen i det pågældende land, hvor fonden er stiftet, </w:t>
            </w:r>
            <w:r w:rsidR="008A1AD6">
              <w:t>kræver endeligt og uigenkald</w:t>
            </w:r>
            <w:r w:rsidR="008A1AD6">
              <w:t>e</w:t>
            </w:r>
            <w:r w:rsidR="008A1AD6">
              <w:t xml:space="preserve">ligt afkald på formuen, men samtidigt </w:t>
            </w:r>
            <w:r>
              <w:t>giver mulighed for at ”emigrere” e</w:t>
            </w:r>
            <w:r>
              <w:t>n</w:t>
            </w:r>
            <w:r>
              <w:t>heden til et andet land, hvor lovgi</w:t>
            </w:r>
            <w:r>
              <w:t>v</w:t>
            </w:r>
            <w:r>
              <w:t>ningen ikke kræver endeligt og uige</w:t>
            </w:r>
            <w:r>
              <w:t>n</w:t>
            </w:r>
            <w:r>
              <w:t xml:space="preserve">kaldeligt afkald på formuen. </w:t>
            </w:r>
            <w:r w:rsidR="008A1AD6">
              <w:t>Der he</w:t>
            </w:r>
            <w:r w:rsidR="008A1AD6">
              <w:t>n</w:t>
            </w:r>
            <w:r w:rsidR="008A1AD6">
              <w:t>stilles til, at dette præciseres.</w:t>
            </w:r>
          </w:p>
          <w:p w:rsidR="005A32E9" w:rsidRDefault="005A32E9" w:rsidP="005A32E9">
            <w:pPr>
              <w:pStyle w:val="Tabel-BrdtekstmedafstandptekstGaramond"/>
            </w:pPr>
          </w:p>
          <w:p w:rsidR="00815F28" w:rsidRDefault="005A32E9" w:rsidP="005A32E9">
            <w:pPr>
              <w:pStyle w:val="Tabel-BrdtekstmedafstandptekstGaramond"/>
              <w:rPr>
                <w:u w:val="single"/>
              </w:rPr>
            </w:pPr>
            <w:r>
              <w:rPr>
                <w:u w:val="single"/>
              </w:rPr>
              <w:lastRenderedPageBreak/>
              <w:t>Bindende svar</w:t>
            </w:r>
          </w:p>
          <w:p w:rsidR="008406DD" w:rsidRPr="00B5346F" w:rsidRDefault="008406DD" w:rsidP="008406DD">
            <w:pPr>
              <w:pStyle w:val="Tabel-BrdtekstmedafstandptekstGaramond"/>
            </w:pPr>
            <w:r w:rsidRPr="008406DD">
              <w:t>Advokatrådet anfører, at forslaget kraftigt vil reducere værdien af et bi</w:t>
            </w:r>
            <w:r w:rsidRPr="008406DD">
              <w:t>n</w:t>
            </w:r>
            <w:r w:rsidRPr="008406DD">
              <w:t>dende svar, og at retssikkerheden fo</w:t>
            </w:r>
            <w:r w:rsidRPr="008406DD">
              <w:t>r</w:t>
            </w:r>
            <w:r w:rsidRPr="008406DD">
              <w:t xml:space="preserve">ringes betydeligt, idet SKAT kan </w:t>
            </w:r>
            <w:r w:rsidR="00961B28">
              <w:t>ti</w:t>
            </w:r>
            <w:r w:rsidR="00961B28">
              <w:t>l</w:t>
            </w:r>
            <w:r w:rsidRPr="008406DD">
              <w:t>sidesætte et bindende svar blot ved at sandsynliggøre</w:t>
            </w:r>
            <w:r w:rsidR="00961B28">
              <w:t>,</w:t>
            </w:r>
            <w:r w:rsidRPr="008406DD">
              <w:t xml:space="preserve"> at den beregnede værdi af et aktiv afviger væsentlig, hvorefter det er op til den skattepli</w:t>
            </w:r>
            <w:r w:rsidRPr="008406DD">
              <w:t>g</w:t>
            </w:r>
            <w:r w:rsidRPr="008406DD">
              <w:t xml:space="preserve">tige at bevise, at der ikke foreligger en sådan væsentlig afvigelse. </w:t>
            </w:r>
          </w:p>
        </w:tc>
        <w:tc>
          <w:tcPr>
            <w:tcW w:w="112" w:type="dxa"/>
            <w:shd w:val="clear" w:color="auto" w:fill="FFFFFF" w:themeFill="background1"/>
          </w:tcPr>
          <w:p w:rsidR="00815F28" w:rsidRPr="00B5346F" w:rsidRDefault="00815F28" w:rsidP="001A1477"/>
        </w:tc>
        <w:tc>
          <w:tcPr>
            <w:tcW w:w="3665" w:type="dxa"/>
            <w:tcBorders>
              <w:bottom w:val="single" w:sz="4" w:space="0" w:color="14143C" w:themeColor="accent1"/>
            </w:tcBorders>
            <w:shd w:val="clear" w:color="auto" w:fill="D2CED8"/>
          </w:tcPr>
          <w:p w:rsidR="00815F28" w:rsidRPr="005A32E9" w:rsidRDefault="00815F28" w:rsidP="001A1477">
            <w:pPr>
              <w:pStyle w:val="Tabel-BrdtekstmedafstandptekstGaramond"/>
              <w:rPr>
                <w:u w:val="single"/>
              </w:rPr>
            </w:pPr>
          </w:p>
          <w:p w:rsidR="00D76E37" w:rsidRDefault="004678BF" w:rsidP="00622E80">
            <w:pPr>
              <w:pStyle w:val="Tabel-BrdtekstmedafstandptekstGaramond"/>
            </w:pPr>
            <w:r>
              <w:t>Der</w:t>
            </w:r>
            <w:r w:rsidR="00383E7E">
              <w:t xml:space="preserve"> </w:t>
            </w:r>
            <w:r>
              <w:t xml:space="preserve">henvises til kommentaren </w:t>
            </w:r>
            <w:r w:rsidR="00383E7E">
              <w:t>til FSR.</w:t>
            </w:r>
          </w:p>
          <w:p w:rsidR="00383E7E" w:rsidRDefault="00383E7E" w:rsidP="00622E80">
            <w:pPr>
              <w:pStyle w:val="Tabel-BrdtekstmedafstandptekstGaramond"/>
            </w:pPr>
          </w:p>
          <w:p w:rsidR="00383E7E" w:rsidRDefault="00383E7E" w:rsidP="00622E80">
            <w:pPr>
              <w:pStyle w:val="Tabel-BrdtekstmedafstandptekstGaramond"/>
            </w:pPr>
          </w:p>
          <w:p w:rsidR="00383E7E" w:rsidRDefault="00383E7E" w:rsidP="00622E80">
            <w:pPr>
              <w:pStyle w:val="Tabel-BrdtekstmedafstandptekstGaramond"/>
            </w:pPr>
          </w:p>
          <w:p w:rsidR="00383E7E" w:rsidRDefault="00383E7E" w:rsidP="00622E80">
            <w:pPr>
              <w:pStyle w:val="Tabel-BrdtekstmedafstandptekstGaramond"/>
            </w:pPr>
          </w:p>
          <w:p w:rsidR="00383E7E" w:rsidRDefault="00383E7E" w:rsidP="00622E80">
            <w:pPr>
              <w:pStyle w:val="Tabel-BrdtekstmedafstandptekstGaramond"/>
            </w:pPr>
          </w:p>
          <w:p w:rsidR="00383E7E" w:rsidRDefault="00383E7E" w:rsidP="00622E80">
            <w:pPr>
              <w:pStyle w:val="Tabel-BrdtekstmedafstandptekstGaramond"/>
            </w:pPr>
          </w:p>
          <w:p w:rsidR="00383E7E" w:rsidRDefault="00383E7E" w:rsidP="00622E80">
            <w:pPr>
              <w:pStyle w:val="Tabel-BrdtekstmedafstandptekstGaramond"/>
            </w:pPr>
          </w:p>
          <w:p w:rsidR="00383E7E" w:rsidRDefault="00383E7E" w:rsidP="00622E80">
            <w:pPr>
              <w:pStyle w:val="Tabel-BrdtekstmedafstandptekstGaramond"/>
            </w:pPr>
          </w:p>
          <w:p w:rsidR="00383E7E" w:rsidRDefault="00383E7E" w:rsidP="00622E80">
            <w:pPr>
              <w:pStyle w:val="Tabel-BrdtekstmedafstandptekstGaramond"/>
            </w:pPr>
          </w:p>
          <w:p w:rsidR="00622E80" w:rsidRPr="00622E80" w:rsidRDefault="00622E80" w:rsidP="00622E80">
            <w:pPr>
              <w:pStyle w:val="Tabel-BrdtekstmedafstandptekstGaramond"/>
            </w:pPr>
            <w:r w:rsidRPr="00622E80">
              <w:t>I OECD er der enighed om, at stater ikke er forpligtet til at indrømme fo</w:t>
            </w:r>
            <w:r w:rsidRPr="00622E80">
              <w:t>r</w:t>
            </w:r>
            <w:r w:rsidRPr="00622E80">
              <w:t>dele i henhold til en dobbeltbeska</w:t>
            </w:r>
            <w:r w:rsidRPr="00622E80">
              <w:t>t</w:t>
            </w:r>
            <w:r w:rsidRPr="00622E80">
              <w:t>ningsoverenskomst ved deltagelse i arrangementer, der indebærer misbrug af overenskomstens bestemmelser. Ved misbrug forstås tilfælde,</w:t>
            </w:r>
            <w:r w:rsidR="00961B28">
              <w:t xml:space="preserve"> hvor deltagelse i arrangementet</w:t>
            </w:r>
            <w:r w:rsidRPr="00622E80">
              <w:t xml:space="preserve"> har været for at sikre en gunstigere skattemæssig position, og hvor det at opnå en gu</w:t>
            </w:r>
            <w:r w:rsidRPr="00622E80">
              <w:t>n</w:t>
            </w:r>
            <w:r w:rsidRPr="00622E80">
              <w:t>stigere behandling vil være i strid med formålet og hensigten med de rel</w:t>
            </w:r>
            <w:r w:rsidRPr="00622E80">
              <w:t>e</w:t>
            </w:r>
            <w:r w:rsidRPr="00622E80">
              <w:t>vante bestemmelser i en overen</w:t>
            </w:r>
            <w:r w:rsidRPr="00622E80">
              <w:t>s</w:t>
            </w:r>
            <w:r w:rsidRPr="00622E80">
              <w:t xml:space="preserve">komst, jf. </w:t>
            </w:r>
            <w:r>
              <w:t>art. 1,</w:t>
            </w:r>
            <w:r w:rsidRPr="00622E80">
              <w:t xml:space="preserve"> pkt. 9.5</w:t>
            </w:r>
            <w:r w:rsidR="0034146E">
              <w:t>,</w:t>
            </w:r>
            <w:r w:rsidRPr="00622E80">
              <w:t xml:space="preserve"> i </w:t>
            </w:r>
            <w:proofErr w:type="spellStart"/>
            <w:r w:rsidRPr="00622E80">
              <w:t>OECDs</w:t>
            </w:r>
            <w:proofErr w:type="spellEnd"/>
            <w:r w:rsidRPr="00622E80">
              <w:t xml:space="preserve"> </w:t>
            </w:r>
            <w:r w:rsidR="00084369">
              <w:t>m</w:t>
            </w:r>
            <w:r w:rsidR="0034146E">
              <w:t>odel</w:t>
            </w:r>
            <w:r w:rsidRPr="00622E80">
              <w:t>overenskomst. I overensste</w:t>
            </w:r>
            <w:r w:rsidRPr="00622E80">
              <w:t>m</w:t>
            </w:r>
            <w:r w:rsidRPr="00622E80">
              <w:t>melse hermed er det muligt for lande at håndhæve nationale misbrugskla</w:t>
            </w:r>
            <w:r w:rsidRPr="00622E80">
              <w:t>u</w:t>
            </w:r>
            <w:r w:rsidRPr="00622E80">
              <w:t>suler med dette sigte, uagtet at der i</w:t>
            </w:r>
            <w:r w:rsidRPr="00622E80">
              <w:t>k</w:t>
            </w:r>
            <w:r w:rsidRPr="00622E80">
              <w:t xml:space="preserve">ke i selve dobbeltbeskatningsaftalen udtrykkeligt </w:t>
            </w:r>
            <w:r>
              <w:t>er</w:t>
            </w:r>
            <w:r w:rsidRPr="00622E80">
              <w:t xml:space="preserve"> indført en misbrug</w:t>
            </w:r>
            <w:r w:rsidRPr="00622E80">
              <w:t>s</w:t>
            </w:r>
            <w:r w:rsidRPr="00622E80">
              <w:t>klausul. Denne forståelse ligger inden for rammerne af Wienerkonventi</w:t>
            </w:r>
            <w:r w:rsidRPr="00622E80">
              <w:t>o</w:t>
            </w:r>
            <w:r w:rsidRPr="00622E80">
              <w:t>nens artikel 31, hvorefter en traktat skal fortolkes loyalt i overensste</w:t>
            </w:r>
            <w:r w:rsidRPr="00622E80">
              <w:t>m</w:t>
            </w:r>
            <w:r w:rsidRPr="00622E80">
              <w:t>melse med den sædvanlige betydning, der måtte til</w:t>
            </w:r>
            <w:r w:rsidR="00961B28">
              <w:t>lægges traktatens udtryk i dens</w:t>
            </w:r>
            <w:r w:rsidRPr="00622E80">
              <w:t xml:space="preserve"> sammenhæng og belyst af dens hensigt og formål.</w:t>
            </w:r>
          </w:p>
          <w:p w:rsidR="00622E80" w:rsidRDefault="00622E80" w:rsidP="00622E80">
            <w:pPr>
              <w:pStyle w:val="Tabel-BrdtekstmedafstandptekstGaramond"/>
            </w:pPr>
          </w:p>
          <w:p w:rsidR="00622E80" w:rsidRDefault="00622E80" w:rsidP="00622E80">
            <w:pPr>
              <w:pStyle w:val="Tabel-BrdtekstmedafstandptekstGaramond"/>
            </w:pPr>
            <w:r w:rsidRPr="00622E80">
              <w:t>Tilsvarende betragtninger findes i kommentarerne til FN-modellen.</w:t>
            </w:r>
          </w:p>
          <w:p w:rsidR="00622E80" w:rsidRPr="00622E80" w:rsidRDefault="00622E80" w:rsidP="00622E80">
            <w:pPr>
              <w:pStyle w:val="Tabel-BrdtekstmedafstandptekstGaramond"/>
            </w:pPr>
          </w:p>
          <w:p w:rsidR="00622E80" w:rsidRDefault="00622E80" w:rsidP="00622E80">
            <w:pPr>
              <w:pStyle w:val="Tabel-BrdtekstmedafstandptekstGaramond"/>
            </w:pPr>
            <w:r w:rsidRPr="00622E80">
              <w:t>Den i lovforslaget anførte misbrug</w:t>
            </w:r>
            <w:r w:rsidRPr="00622E80">
              <w:t>s</w:t>
            </w:r>
            <w:r w:rsidRPr="00622E80">
              <w:t>klausul reflekterer nøje de almindelige principper for, i hvilket omfang et land kan imødegå misbrug af de all</w:t>
            </w:r>
            <w:r w:rsidRPr="00622E80">
              <w:t>e</w:t>
            </w:r>
            <w:r w:rsidRPr="00622E80">
              <w:t>rede eksisterende dobbeltbeska</w:t>
            </w:r>
            <w:r w:rsidRPr="00622E80">
              <w:t>t</w:t>
            </w:r>
            <w:r w:rsidRPr="00622E80">
              <w:t>ningsoverenskomster. Forslaget kan derfor ikke anses for at være i strid med eksisterende overenskomster e</w:t>
            </w:r>
            <w:r w:rsidRPr="00622E80">
              <w:t>l</w:t>
            </w:r>
            <w:r w:rsidRPr="00622E80">
              <w:t>ler betragtes som en opsigelse af di</w:t>
            </w:r>
            <w:r w:rsidRPr="00622E80">
              <w:t>s</w:t>
            </w:r>
            <w:r w:rsidRPr="00622E80">
              <w:t>se.</w:t>
            </w:r>
          </w:p>
          <w:p w:rsidR="00087EB8" w:rsidRDefault="00087EB8" w:rsidP="001A1477">
            <w:pPr>
              <w:pStyle w:val="Tabel-BrdtekstmedafstandptekstGaramond"/>
            </w:pPr>
          </w:p>
          <w:p w:rsidR="00D47FBD" w:rsidRDefault="00CD3B49" w:rsidP="001A1477">
            <w:pPr>
              <w:pStyle w:val="Tabel-BrdtekstmedafstandptekstGaramond"/>
            </w:pPr>
            <w:r w:rsidRPr="00CD3B49">
              <w:t>Omgåelsesklausulen vil finde anve</w:t>
            </w:r>
            <w:r w:rsidRPr="00CD3B49">
              <w:t>n</w:t>
            </w:r>
            <w:r w:rsidRPr="00CD3B49">
              <w:t>delse, hvad enten den grænseove</w:t>
            </w:r>
            <w:r w:rsidRPr="00CD3B49">
              <w:t>r</w:t>
            </w:r>
            <w:r w:rsidRPr="00CD3B49">
              <w:t>skridende omstrukturering er foret</w:t>
            </w:r>
            <w:r w:rsidRPr="00CD3B49">
              <w:t>a</w:t>
            </w:r>
            <w:r w:rsidRPr="00CD3B49">
              <w:t>get med eller uden tilladelse</w:t>
            </w:r>
            <w:r w:rsidR="00084369">
              <w:t>.</w:t>
            </w:r>
          </w:p>
          <w:p w:rsidR="00D47FBD" w:rsidRDefault="00D47FBD" w:rsidP="001A1477">
            <w:pPr>
              <w:pStyle w:val="Tabel-BrdtekstmedafstandptekstGaramond"/>
            </w:pPr>
          </w:p>
          <w:p w:rsidR="00CD3B49" w:rsidRDefault="00CD3B49" w:rsidP="001A1477">
            <w:pPr>
              <w:pStyle w:val="Tabel-BrdtekstmedafstandptekstGaramond"/>
            </w:pPr>
          </w:p>
          <w:p w:rsidR="00CD3B49" w:rsidRDefault="00CD3B49" w:rsidP="001A1477">
            <w:pPr>
              <w:pStyle w:val="Tabel-BrdtekstmedafstandptekstGaramond"/>
            </w:pPr>
          </w:p>
          <w:p w:rsidR="00CD3B49" w:rsidRDefault="00CD3B49" w:rsidP="001A1477">
            <w:pPr>
              <w:pStyle w:val="Tabel-BrdtekstmedafstandptekstGaramond"/>
            </w:pPr>
          </w:p>
          <w:p w:rsidR="00CD3B49" w:rsidRDefault="00CD3B49" w:rsidP="001A1477">
            <w:pPr>
              <w:pStyle w:val="Tabel-BrdtekstmedafstandptekstGaramond"/>
            </w:pPr>
          </w:p>
          <w:p w:rsidR="00CD3B49" w:rsidRDefault="00CD3B49" w:rsidP="001A1477">
            <w:pPr>
              <w:pStyle w:val="Tabel-BrdtekstmedafstandptekstGaramond"/>
            </w:pPr>
          </w:p>
          <w:p w:rsidR="00CD3B49" w:rsidRDefault="00CD3B49" w:rsidP="001A1477">
            <w:pPr>
              <w:pStyle w:val="Tabel-BrdtekstmedafstandptekstGaramond"/>
            </w:pPr>
          </w:p>
          <w:p w:rsidR="00CD3B49" w:rsidRDefault="00CD3B49" w:rsidP="001A1477">
            <w:pPr>
              <w:pStyle w:val="Tabel-BrdtekstmedafstandptekstGaramond"/>
            </w:pPr>
          </w:p>
          <w:p w:rsidR="006645B7" w:rsidRDefault="00365201" w:rsidP="001A1477">
            <w:pPr>
              <w:pStyle w:val="Tabel-BrdtekstmedafstandptekstGaramond"/>
            </w:pPr>
            <w:r>
              <w:t>Trusts er bl.a. kendetegnet ved, at der er aftalefrihed. Dette medfører, at det er umuligt at opstille</w:t>
            </w:r>
            <w:r w:rsidR="007E1867">
              <w:t xml:space="preserve"> en generel </w:t>
            </w:r>
            <w:r w:rsidR="006623E7">
              <w:t>def</w:t>
            </w:r>
            <w:r w:rsidR="006623E7">
              <w:t>i</w:t>
            </w:r>
            <w:r w:rsidR="006623E7">
              <w:t>niti</w:t>
            </w:r>
            <w:r>
              <w:t>on af</w:t>
            </w:r>
            <w:r w:rsidR="006623E7">
              <w:t xml:space="preserve"> trust</w:t>
            </w:r>
            <w:r w:rsidR="00961B28">
              <w:t>s</w:t>
            </w:r>
            <w:r w:rsidR="006645B7">
              <w:t>, der er egnet som lo</w:t>
            </w:r>
            <w:r w:rsidR="006645B7">
              <w:t>v</w:t>
            </w:r>
            <w:r w:rsidR="006645B7">
              <w:t>givningsmæssig definition</w:t>
            </w:r>
            <w:r w:rsidR="009C35B7">
              <w:t xml:space="preserve"> af begrebet ”trust”</w:t>
            </w:r>
            <w:r w:rsidR="006623E7">
              <w:t xml:space="preserve">. </w:t>
            </w:r>
            <w:r>
              <w:t>Det vil ikke være tilstrækkeligt robust over for omgåelse. Det kan bemærkes, at t</w:t>
            </w:r>
            <w:r w:rsidR="006623E7">
              <w:t>rustens væsentligste k</w:t>
            </w:r>
            <w:r w:rsidR="006623E7">
              <w:t>a</w:t>
            </w:r>
            <w:r w:rsidR="006623E7">
              <w:t xml:space="preserve">rakteristika </w:t>
            </w:r>
            <w:r w:rsidR="006645B7">
              <w:t xml:space="preserve">er </w:t>
            </w:r>
            <w:r w:rsidR="009C35B7">
              <w:t xml:space="preserve">beskrevet </w:t>
            </w:r>
            <w:r w:rsidR="006645B7">
              <w:t xml:space="preserve">af Rasmus Feldthusen i bogen ”trusts” </w:t>
            </w:r>
            <w:r w:rsidR="006623E7">
              <w:t>på fø</w:t>
            </w:r>
            <w:r w:rsidR="006623E7">
              <w:t>l</w:t>
            </w:r>
            <w:r w:rsidR="006623E7">
              <w:t xml:space="preserve">gende måde: </w:t>
            </w:r>
          </w:p>
          <w:p w:rsidR="006645B7" w:rsidRDefault="006645B7" w:rsidP="001A1477">
            <w:pPr>
              <w:pStyle w:val="Tabel-BrdtekstmedafstandptekstGaramond"/>
            </w:pPr>
          </w:p>
          <w:p w:rsidR="006645B7" w:rsidRDefault="007E1867" w:rsidP="001A1477">
            <w:pPr>
              <w:pStyle w:val="Tabel-BrdtekstmedafstandptekstGaramond"/>
            </w:pPr>
            <w:r>
              <w:t>”</w:t>
            </w:r>
            <w:r w:rsidR="006623E7">
              <w:t xml:space="preserve">En trust er kendetegnet ved, at en person </w:t>
            </w:r>
            <w:r>
              <w:t xml:space="preserve">betegnet </w:t>
            </w:r>
            <w:proofErr w:type="spellStart"/>
            <w:r>
              <w:rPr>
                <w:i/>
              </w:rPr>
              <w:t>settlor</w:t>
            </w:r>
            <w:proofErr w:type="spellEnd"/>
            <w:r>
              <w:rPr>
                <w:i/>
              </w:rPr>
              <w:t xml:space="preserve"> </w:t>
            </w:r>
            <w:r w:rsidR="006623E7">
              <w:t>(stifteren) ove</w:t>
            </w:r>
            <w:r w:rsidR="006623E7">
              <w:t>r</w:t>
            </w:r>
            <w:r w:rsidR="006623E7">
              <w:t xml:space="preserve">fører aktiver til en anden person </w:t>
            </w:r>
            <w:r>
              <w:t>b</w:t>
            </w:r>
            <w:r>
              <w:t>e</w:t>
            </w:r>
            <w:r>
              <w:t xml:space="preserve">tegnet </w:t>
            </w:r>
            <w:proofErr w:type="spellStart"/>
            <w:r w:rsidR="006623E7" w:rsidRPr="007E1867">
              <w:rPr>
                <w:i/>
              </w:rPr>
              <w:t>trustee</w:t>
            </w:r>
            <w:proofErr w:type="spellEnd"/>
            <w:r w:rsidR="006623E7">
              <w:t xml:space="preserve">, idet stifteren samtidigt instruerer </w:t>
            </w:r>
            <w:proofErr w:type="spellStart"/>
            <w:r w:rsidR="006623E7">
              <w:t>trustee</w:t>
            </w:r>
            <w:proofErr w:type="spellEnd"/>
            <w:r w:rsidR="006623E7">
              <w:t xml:space="preserve"> om at forvalte akt</w:t>
            </w:r>
            <w:r w:rsidR="006623E7">
              <w:t>i</w:t>
            </w:r>
            <w:r w:rsidR="006623E7">
              <w:t>verne til fordel for en eller flere b</w:t>
            </w:r>
            <w:r w:rsidR="006623E7">
              <w:t>e</w:t>
            </w:r>
            <w:r w:rsidR="006623E7">
              <w:t>gu</w:t>
            </w:r>
            <w:r w:rsidR="006645B7">
              <w:t>n</w:t>
            </w:r>
            <w:r w:rsidR="006623E7">
              <w:t>stigede</w:t>
            </w:r>
            <w:r w:rsidR="006645B7">
              <w:t xml:space="preserve">. </w:t>
            </w:r>
            <w:proofErr w:type="spellStart"/>
            <w:r w:rsidR="006645B7">
              <w:t>Trustee</w:t>
            </w:r>
            <w:proofErr w:type="spellEnd"/>
            <w:r w:rsidR="006645B7">
              <w:t xml:space="preserve"> har en ejendom</w:t>
            </w:r>
            <w:r w:rsidR="006645B7">
              <w:t>s</w:t>
            </w:r>
            <w:r w:rsidR="006645B7">
              <w:t xml:space="preserve">ret til de overførte aktiver i henhold </w:t>
            </w:r>
            <w:r w:rsidR="006645B7">
              <w:lastRenderedPageBreak/>
              <w:t xml:space="preserve">til </w:t>
            </w:r>
            <w:proofErr w:type="spellStart"/>
            <w:r w:rsidR="006645B7">
              <w:t>common</w:t>
            </w:r>
            <w:proofErr w:type="spellEnd"/>
            <w:r w:rsidR="006645B7">
              <w:t xml:space="preserve"> </w:t>
            </w:r>
            <w:proofErr w:type="spellStart"/>
            <w:r w:rsidR="006645B7">
              <w:t>law</w:t>
            </w:r>
            <w:proofErr w:type="spellEnd"/>
            <w:r w:rsidR="006645B7">
              <w:t xml:space="preserve"> og de begunstigede har tillige en ejendomsret til de ove</w:t>
            </w:r>
            <w:r w:rsidR="006645B7">
              <w:t>r</w:t>
            </w:r>
            <w:r w:rsidR="006645B7">
              <w:t xml:space="preserve">førte aktiver i </w:t>
            </w:r>
            <w:proofErr w:type="spellStart"/>
            <w:r w:rsidR="006645B7">
              <w:t>equity</w:t>
            </w:r>
            <w:proofErr w:type="spellEnd"/>
            <w:r w:rsidR="006645B7">
              <w:t xml:space="preserve">. </w:t>
            </w:r>
          </w:p>
          <w:p w:rsidR="006645B7" w:rsidRDefault="006645B7" w:rsidP="001A1477">
            <w:pPr>
              <w:pStyle w:val="Tabel-BrdtekstmedafstandptekstGaramond"/>
            </w:pPr>
          </w:p>
          <w:p w:rsidR="006645B7" w:rsidRDefault="006645B7" w:rsidP="001A1477">
            <w:pPr>
              <w:pStyle w:val="Tabel-BrdtekstmedafstandptekstGaramond"/>
            </w:pPr>
            <w:proofErr w:type="spellStart"/>
            <w:r>
              <w:t>Trustee</w:t>
            </w:r>
            <w:proofErr w:type="spellEnd"/>
            <w:r>
              <w:t xml:space="preserve"> fremstår over for omverd</w:t>
            </w:r>
            <w:r>
              <w:t>e</w:t>
            </w:r>
            <w:r>
              <w:t xml:space="preserve">nen som værende ejer af trust-aktiverne, men </w:t>
            </w:r>
            <w:proofErr w:type="spellStart"/>
            <w:r>
              <w:t>trustee</w:t>
            </w:r>
            <w:proofErr w:type="spellEnd"/>
            <w:r>
              <w:t xml:space="preserve"> kan ikke råde frit over aktiverne, idet </w:t>
            </w:r>
            <w:proofErr w:type="spellStart"/>
            <w:r>
              <w:t>trustee</w:t>
            </w:r>
            <w:proofErr w:type="spellEnd"/>
            <w:r>
              <w:t xml:space="preserve"> er bundet af stifterens instrukser. De begunstigede er i henhold til de særl</w:t>
            </w:r>
            <w:r>
              <w:t>i</w:t>
            </w:r>
            <w:r>
              <w:t xml:space="preserve">ge regler og principper i </w:t>
            </w:r>
            <w:proofErr w:type="spellStart"/>
            <w:r>
              <w:t>equity</w:t>
            </w:r>
            <w:proofErr w:type="spellEnd"/>
            <w:r>
              <w:t xml:space="preserve"> i vidt omfang beskyttet mod </w:t>
            </w:r>
            <w:proofErr w:type="spellStart"/>
            <w:r>
              <w:t>trustees</w:t>
            </w:r>
            <w:proofErr w:type="spellEnd"/>
            <w:r>
              <w:t xml:space="preserve"> priv</w:t>
            </w:r>
            <w:r>
              <w:t>a</w:t>
            </w:r>
            <w:r>
              <w:t xml:space="preserve">te kreditorer og aftaleerhververe. </w:t>
            </w:r>
          </w:p>
          <w:p w:rsidR="006645B7" w:rsidRDefault="006645B7" w:rsidP="001A1477">
            <w:pPr>
              <w:pStyle w:val="Tabel-BrdtekstmedafstandptekstGaramond"/>
            </w:pPr>
          </w:p>
          <w:p w:rsidR="00961B28" w:rsidRDefault="006645B7" w:rsidP="001A1477">
            <w:pPr>
              <w:pStyle w:val="Tabel-BrdtekstmedafstandptekstGaramond"/>
            </w:pPr>
            <w:r>
              <w:t>Det er endvidere væsentligt at være opmærksom på, at trusten ikke er en juridisk person.</w:t>
            </w:r>
            <w:r w:rsidR="007E1867">
              <w:t>”</w:t>
            </w:r>
          </w:p>
          <w:p w:rsidR="00961B28" w:rsidRDefault="00961B28" w:rsidP="001A1477">
            <w:pPr>
              <w:pStyle w:val="Tabel-BrdtekstmedafstandptekstGaramond"/>
            </w:pPr>
          </w:p>
          <w:p w:rsidR="005A32E9" w:rsidRDefault="00961B28" w:rsidP="001A1477">
            <w:pPr>
              <w:pStyle w:val="Tabel-BrdtekstmedafstandptekstGaramond"/>
            </w:pPr>
            <w:r>
              <w:t>Ovenstående beskrivelse fremgår af lovforslagets bemærkninger, hvilket bliver retningsgivende ved fortolkni</w:t>
            </w:r>
            <w:r>
              <w:t>n</w:t>
            </w:r>
            <w:r>
              <w:t>gen af loven.</w:t>
            </w:r>
            <w:r w:rsidR="006645B7">
              <w:t xml:space="preserve"> </w:t>
            </w:r>
            <w:r w:rsidR="006623E7">
              <w:t xml:space="preserve"> </w:t>
            </w:r>
          </w:p>
          <w:p w:rsidR="005A32E9" w:rsidRDefault="005A32E9" w:rsidP="001A1477">
            <w:pPr>
              <w:pStyle w:val="Tabel-BrdtekstmedafstandptekstGaramond"/>
            </w:pPr>
          </w:p>
          <w:p w:rsidR="00971687" w:rsidRDefault="00971687" w:rsidP="001A1477">
            <w:pPr>
              <w:pStyle w:val="Tabel-BrdtekstmedafstandptekstGaramond"/>
            </w:pPr>
            <w:r>
              <w:t>Lovforslaget er justeret således, at b</w:t>
            </w:r>
            <w:r>
              <w:t>e</w:t>
            </w:r>
            <w:r>
              <w:t xml:space="preserve">stemmelsen ikke finder anvendelse, hvis det </w:t>
            </w:r>
            <w:r w:rsidR="00B36231">
              <w:t>måtte</w:t>
            </w:r>
            <w:r>
              <w:t xml:space="preserve"> fremgå af lovgivni</w:t>
            </w:r>
            <w:r>
              <w:t>n</w:t>
            </w:r>
            <w:r>
              <w:t>gen</w:t>
            </w:r>
            <w:r w:rsidR="00DC63A6">
              <w:t>,</w:t>
            </w:r>
            <w:r w:rsidR="00365201">
              <w:t xml:space="preserve"> retspraksis</w:t>
            </w:r>
            <w:r w:rsidR="00DC63A6">
              <w:t xml:space="preserve"> eller administrativ praksis</w:t>
            </w:r>
            <w:r>
              <w:t>, der er gældende for den p</w:t>
            </w:r>
            <w:r>
              <w:t>å</w:t>
            </w:r>
            <w:r>
              <w:t>gældende trust, at der skal være givet endeligt og uigenkaldeligt afkald på formuen.</w:t>
            </w:r>
          </w:p>
          <w:p w:rsidR="00971687" w:rsidRDefault="00971687" w:rsidP="001A1477">
            <w:pPr>
              <w:pStyle w:val="Tabel-BrdtekstmedafstandptekstGaramond"/>
            </w:pPr>
          </w:p>
          <w:p w:rsidR="00971687" w:rsidRDefault="00971687" w:rsidP="001A1477">
            <w:pPr>
              <w:pStyle w:val="Tabel-BrdtekstmedafstandptekstGaramond"/>
            </w:pPr>
            <w:r>
              <w:t>Lovforslaget er præciseret i overen</w:t>
            </w:r>
            <w:r>
              <w:t>s</w:t>
            </w:r>
            <w:r>
              <w:t xml:space="preserve">stemmelse med </w:t>
            </w:r>
            <w:r w:rsidR="00DB7126">
              <w:t>A</w:t>
            </w:r>
            <w:r>
              <w:t>dvokat</w:t>
            </w:r>
            <w:r w:rsidR="00DB7126">
              <w:t>rådets</w:t>
            </w:r>
            <w:r>
              <w:t xml:space="preserve"> fo</w:t>
            </w:r>
            <w:r>
              <w:t>r</w:t>
            </w:r>
            <w:r>
              <w:t xml:space="preserve">slag. </w:t>
            </w:r>
          </w:p>
          <w:p w:rsidR="00971687" w:rsidRPr="00971687" w:rsidRDefault="00971687" w:rsidP="001A1477">
            <w:pPr>
              <w:pStyle w:val="Tabel-BrdtekstmedafstandptekstGaramond"/>
            </w:pPr>
          </w:p>
          <w:p w:rsidR="00EC2318" w:rsidRDefault="00EC2318" w:rsidP="001A1477">
            <w:pPr>
              <w:pStyle w:val="Tabel-BrdtekstmedafstandptekstGaramond"/>
              <w:rPr>
                <w:u w:val="single"/>
              </w:rPr>
            </w:pPr>
          </w:p>
          <w:p w:rsidR="00EC2318" w:rsidRDefault="00EC2318" w:rsidP="001A1477">
            <w:pPr>
              <w:pStyle w:val="Tabel-BrdtekstmedafstandptekstGaramond"/>
              <w:rPr>
                <w:u w:val="single"/>
              </w:rPr>
            </w:pPr>
          </w:p>
          <w:p w:rsidR="00EC2318" w:rsidRDefault="00EC2318" w:rsidP="001A1477">
            <w:pPr>
              <w:pStyle w:val="Tabel-BrdtekstmedafstandptekstGaramond"/>
              <w:rPr>
                <w:u w:val="single"/>
              </w:rPr>
            </w:pPr>
          </w:p>
          <w:p w:rsidR="00EC2318" w:rsidRDefault="00EC2318" w:rsidP="001A1477">
            <w:pPr>
              <w:pStyle w:val="Tabel-BrdtekstmedafstandptekstGaramond"/>
              <w:rPr>
                <w:u w:val="single"/>
              </w:rPr>
            </w:pPr>
          </w:p>
          <w:p w:rsidR="00EC2318" w:rsidRDefault="00EC2318" w:rsidP="001A1477">
            <w:pPr>
              <w:pStyle w:val="Tabel-BrdtekstmedafstandptekstGaramond"/>
              <w:rPr>
                <w:u w:val="single"/>
              </w:rPr>
            </w:pPr>
          </w:p>
          <w:p w:rsidR="00EC2318" w:rsidRDefault="00EC2318" w:rsidP="001A1477">
            <w:pPr>
              <w:pStyle w:val="Tabel-BrdtekstmedafstandptekstGaramond"/>
              <w:rPr>
                <w:u w:val="single"/>
              </w:rPr>
            </w:pPr>
          </w:p>
          <w:p w:rsidR="00EC2318" w:rsidRDefault="00EC2318" w:rsidP="001A1477">
            <w:pPr>
              <w:pStyle w:val="Tabel-BrdtekstmedafstandptekstGaramond"/>
              <w:rPr>
                <w:u w:val="single"/>
              </w:rPr>
            </w:pPr>
          </w:p>
          <w:p w:rsidR="00EC2318" w:rsidRDefault="00EC2318" w:rsidP="001A1477">
            <w:pPr>
              <w:pStyle w:val="Tabel-BrdtekstmedafstandptekstGaramond"/>
              <w:rPr>
                <w:u w:val="single"/>
              </w:rPr>
            </w:pPr>
          </w:p>
          <w:p w:rsidR="00365201" w:rsidRDefault="00365201" w:rsidP="008406DD">
            <w:pPr>
              <w:pStyle w:val="Tabel-BrdtekstmedafstandptekstGaramond"/>
            </w:pPr>
          </w:p>
          <w:p w:rsidR="008406DD" w:rsidRDefault="008406DD" w:rsidP="008406DD">
            <w:pPr>
              <w:pStyle w:val="Tabel-BrdtekstmedafstandptekstGaramond"/>
            </w:pPr>
            <w:r w:rsidRPr="008406DD">
              <w:t>Forslaget betyder, at der vil være kl</w:t>
            </w:r>
            <w:r w:rsidRPr="008406DD">
              <w:t>a</w:t>
            </w:r>
            <w:r w:rsidRPr="008406DD">
              <w:t>rere retningslinjer i forhold til de o</w:t>
            </w:r>
            <w:r w:rsidRPr="008406DD">
              <w:t>m</w:t>
            </w:r>
            <w:r w:rsidRPr="008406DD">
              <w:t>stændigheder, der kan føre til, at et bindende svar om et aktivs værdi ikke længere anses for bindende. Efter de gældende regler er det muligt at in</w:t>
            </w:r>
            <w:r w:rsidRPr="008406DD">
              <w:t>d</w:t>
            </w:r>
            <w:r w:rsidRPr="008406DD">
              <w:t xml:space="preserve">sætte såkaldte </w:t>
            </w:r>
            <w:proofErr w:type="spellStart"/>
            <w:r w:rsidRPr="008406DD">
              <w:t>critical</w:t>
            </w:r>
            <w:proofErr w:type="spellEnd"/>
            <w:r w:rsidR="00961B28">
              <w:t xml:space="preserve"> </w:t>
            </w:r>
            <w:proofErr w:type="spellStart"/>
            <w:r w:rsidR="00961B28">
              <w:t>assumptions</w:t>
            </w:r>
            <w:proofErr w:type="spellEnd"/>
            <w:r w:rsidR="00961B28">
              <w:t xml:space="preserve"> i et bindende svar, dvs. at hvis</w:t>
            </w:r>
            <w:r w:rsidRPr="008406DD">
              <w:t xml:space="preserve"> forudsæ</w:t>
            </w:r>
            <w:r w:rsidRPr="008406DD">
              <w:t>t</w:t>
            </w:r>
            <w:r w:rsidRPr="008406DD">
              <w:t>ningerne ikke</w:t>
            </w:r>
            <w:r w:rsidR="00961B28">
              <w:t xml:space="preserve"> holder</w:t>
            </w:r>
            <w:r w:rsidRPr="008406DD">
              <w:t>, er svaret ikke længere bindende. Forslaget indfører således ikke et nyt koncept. Allerede under de gældende regler vil et afgivet bindende svar om et aktivs værdi s</w:t>
            </w:r>
            <w:r w:rsidRPr="008406DD">
              <w:t>å</w:t>
            </w:r>
            <w:r w:rsidRPr="008406DD">
              <w:t xml:space="preserve">ledes kunne bortfalde. Med forslaget skabes imidlertid en større åbenhed om, hvilke forhold, der kan føre til et bortfald. Dette vil give </w:t>
            </w:r>
            <w:r w:rsidR="0045136B">
              <w:t xml:space="preserve">større klarhed for </w:t>
            </w:r>
            <w:r w:rsidRPr="008406DD">
              <w:t>spørger</w:t>
            </w:r>
            <w:r w:rsidR="0045136B">
              <w:t>en</w:t>
            </w:r>
            <w:r w:rsidRPr="008406DD">
              <w:t xml:space="preserve"> og vil kunne medvirke til </w:t>
            </w:r>
            <w:r w:rsidR="000F6BFD">
              <w:t>at sikre</w:t>
            </w:r>
            <w:r w:rsidRPr="008406DD">
              <w:t>, at sammenlignelige situat</w:t>
            </w:r>
            <w:r w:rsidRPr="008406DD">
              <w:t>i</w:t>
            </w:r>
            <w:r w:rsidRPr="008406DD">
              <w:t>oner behandles</w:t>
            </w:r>
            <w:r w:rsidR="00C05FBA">
              <w:t xml:space="preserve"> </w:t>
            </w:r>
            <w:r w:rsidRPr="008406DD">
              <w:t>ensartet.</w:t>
            </w:r>
          </w:p>
          <w:p w:rsidR="008406DD" w:rsidRPr="008406DD" w:rsidRDefault="008406DD" w:rsidP="008406DD">
            <w:pPr>
              <w:pStyle w:val="Tabel-BrdtekstmedafstandptekstGaramond"/>
            </w:pPr>
          </w:p>
          <w:p w:rsidR="008406DD" w:rsidRPr="008406DD" w:rsidRDefault="006D24FE" w:rsidP="006D24FE">
            <w:pPr>
              <w:pStyle w:val="Tabel-BrdtekstmedafstandptekstGaramond"/>
            </w:pPr>
            <w:r>
              <w:t>Lovf</w:t>
            </w:r>
            <w:r w:rsidR="008406DD" w:rsidRPr="008406DD">
              <w:t>orslaget er justeret</w:t>
            </w:r>
            <w:r>
              <w:t xml:space="preserve"> således</w:t>
            </w:r>
            <w:r w:rsidR="008406DD" w:rsidRPr="008406DD">
              <w:t xml:space="preserve">, </w:t>
            </w:r>
            <w:r>
              <w:t>a</w:t>
            </w:r>
            <w:r w:rsidR="008406DD" w:rsidRPr="008406DD">
              <w:t>t kravet om sandsynliggørelse er ændret til et krav om</w:t>
            </w:r>
            <w:r w:rsidR="000F6BFD">
              <w:t>, at</w:t>
            </w:r>
            <w:r w:rsidR="008406DD" w:rsidRPr="008406DD">
              <w:t xml:space="preserve"> det skal være b</w:t>
            </w:r>
            <w:r w:rsidR="008406DD" w:rsidRPr="008406DD">
              <w:t>e</w:t>
            </w:r>
            <w:r w:rsidR="008406DD" w:rsidRPr="008406DD">
              <w:t>grundet</w:t>
            </w:r>
            <w:r w:rsidR="000F6BFD">
              <w:t>, at værdien af et aktiv er en anden</w:t>
            </w:r>
            <w:r w:rsidR="008406DD" w:rsidRPr="008406DD">
              <w:t>. Den nye terminologi svarer til ordlyden i skatteforvaltningslovens § 26, stk. 2, hvorefter skattepligtige, der efter selvangivelsesfristens udløb ø</w:t>
            </w:r>
            <w:r w:rsidR="008406DD" w:rsidRPr="008406DD">
              <w:t>n</w:t>
            </w:r>
            <w:r w:rsidR="008406DD" w:rsidRPr="008406DD">
              <w:t>sker ansættelsen ændret, skal fre</w:t>
            </w:r>
            <w:r w:rsidR="008406DD" w:rsidRPr="008406DD">
              <w:t>m</w:t>
            </w:r>
            <w:r w:rsidR="008406DD" w:rsidRPr="008406DD">
              <w:t xml:space="preserve">lægge oplysninger, der kan begrunde dette. </w:t>
            </w:r>
          </w:p>
        </w:tc>
      </w:tr>
      <w:tr w:rsidR="004663A1" w:rsidRPr="00B5346F" w:rsidTr="005004E8">
        <w:tc>
          <w:tcPr>
            <w:tcW w:w="2093" w:type="dxa"/>
            <w:tcBorders>
              <w:top w:val="single" w:sz="4" w:space="0" w:color="D1C5C3" w:themeColor="accent3"/>
              <w:bottom w:val="single" w:sz="4" w:space="0" w:color="D1C5C3" w:themeColor="accent3"/>
            </w:tcBorders>
            <w:shd w:val="clear" w:color="auto" w:fill="FBF9F9"/>
          </w:tcPr>
          <w:p w:rsidR="004663A1" w:rsidRDefault="004663A1" w:rsidP="001A1477">
            <w:pPr>
              <w:pStyle w:val="Tabel-BrdtekstmedafstandptekstGaramond"/>
              <w:rPr>
                <w:i/>
              </w:rPr>
            </w:pPr>
            <w:r>
              <w:rPr>
                <w:i/>
              </w:rPr>
              <w:lastRenderedPageBreak/>
              <w:t>Danske Advokater</w:t>
            </w:r>
          </w:p>
        </w:tc>
        <w:tc>
          <w:tcPr>
            <w:tcW w:w="104" w:type="dxa"/>
            <w:shd w:val="clear" w:color="auto" w:fill="FFFFFF" w:themeFill="background1"/>
          </w:tcPr>
          <w:p w:rsidR="004663A1" w:rsidRPr="00B5346F" w:rsidRDefault="004663A1" w:rsidP="001A1477"/>
        </w:tc>
        <w:tc>
          <w:tcPr>
            <w:tcW w:w="3665" w:type="dxa"/>
            <w:tcBorders>
              <w:top w:val="single" w:sz="4" w:space="0" w:color="D1C5C3" w:themeColor="accent3"/>
              <w:bottom w:val="single" w:sz="4" w:space="0" w:color="D1C5C3" w:themeColor="accent3"/>
            </w:tcBorders>
            <w:shd w:val="clear" w:color="auto" w:fill="FBF9F9"/>
          </w:tcPr>
          <w:p w:rsidR="004663A1" w:rsidRDefault="004663A1" w:rsidP="001A1477">
            <w:pPr>
              <w:pStyle w:val="Tabel-BrdtekstmedafstandptekstGaramond"/>
            </w:pPr>
            <w:r>
              <w:t>Danske Advokater er overordnet af den opfattelse, at lovforslaget ikke er tilstrækkeligt gennemarbejdet. Det vil være mere hensigtsmæssigt at ge</w:t>
            </w:r>
            <w:r>
              <w:t>n</w:t>
            </w:r>
            <w:r>
              <w:t>nemføre lovgivning ved at lade s</w:t>
            </w:r>
            <w:r>
              <w:t>å</w:t>
            </w:r>
            <w:r>
              <w:t>danne tiltag blive grundigt bearbejdet i lovforberedende udvalg med bred repræsentation – inden der indled</w:t>
            </w:r>
            <w:r w:rsidR="007C489C">
              <w:t>es</w:t>
            </w:r>
            <w:r>
              <w:t xml:space="preserve"> en ekstern hørin</w:t>
            </w:r>
            <w:r w:rsidR="0085012B">
              <w:t>g</w:t>
            </w:r>
            <w:r>
              <w:t>sfase.</w:t>
            </w:r>
          </w:p>
          <w:p w:rsidR="007C489C" w:rsidRDefault="007C489C" w:rsidP="001A1477">
            <w:pPr>
              <w:pStyle w:val="Tabel-BrdtekstmedafstandptekstGaramond"/>
            </w:pPr>
          </w:p>
          <w:p w:rsidR="007C489C" w:rsidRDefault="007C489C" w:rsidP="001A1477">
            <w:pPr>
              <w:pStyle w:val="Tabel-BrdtekstmedafstandptekstGaramond"/>
            </w:pPr>
          </w:p>
          <w:p w:rsidR="007C489C" w:rsidRDefault="007C489C" w:rsidP="001A1477">
            <w:pPr>
              <w:pStyle w:val="Tabel-BrdtekstmedafstandptekstGaramond"/>
            </w:pPr>
          </w:p>
          <w:p w:rsidR="007C489C" w:rsidRDefault="007C489C" w:rsidP="001A1477">
            <w:pPr>
              <w:pStyle w:val="Tabel-BrdtekstmedafstandptekstGaramond"/>
            </w:pPr>
          </w:p>
          <w:p w:rsidR="007C489C" w:rsidRDefault="007C489C" w:rsidP="001A1477">
            <w:pPr>
              <w:pStyle w:val="Tabel-BrdtekstmedafstandptekstGaramond"/>
            </w:pPr>
          </w:p>
          <w:p w:rsidR="007C489C" w:rsidRDefault="007C489C" w:rsidP="001A1477">
            <w:pPr>
              <w:pStyle w:val="Tabel-BrdtekstmedafstandptekstGaramond"/>
            </w:pPr>
          </w:p>
          <w:p w:rsidR="00C05FBA" w:rsidRDefault="00C05FBA" w:rsidP="001A1477">
            <w:pPr>
              <w:pStyle w:val="Tabel-BrdtekstmedafstandptekstGaramond"/>
            </w:pPr>
          </w:p>
          <w:p w:rsidR="007C489C" w:rsidRDefault="007C489C" w:rsidP="001A1477">
            <w:pPr>
              <w:pStyle w:val="Tabel-BrdtekstmedafstandptekstGaramond"/>
            </w:pPr>
          </w:p>
          <w:p w:rsidR="00CB4BCC" w:rsidRDefault="00CB4BCC" w:rsidP="001A1477">
            <w:pPr>
              <w:pStyle w:val="Tabel-BrdtekstmedafstandptekstGaramond"/>
              <w:rPr>
                <w:u w:val="single"/>
              </w:rPr>
            </w:pPr>
          </w:p>
          <w:p w:rsidR="007C489C" w:rsidRDefault="007C489C" w:rsidP="001A1477">
            <w:pPr>
              <w:pStyle w:val="Tabel-BrdtekstmedafstandptekstGaramond"/>
              <w:rPr>
                <w:u w:val="single"/>
              </w:rPr>
            </w:pPr>
            <w:r>
              <w:rPr>
                <w:u w:val="single"/>
              </w:rPr>
              <w:t>International omgåelsesklausul</w:t>
            </w:r>
          </w:p>
          <w:p w:rsidR="007C489C" w:rsidRDefault="00194A00" w:rsidP="001A1477">
            <w:pPr>
              <w:pStyle w:val="Tabel-BrdtekstmedafstandptekstGaramond"/>
            </w:pPr>
            <w:r>
              <w:t xml:space="preserve">Danske </w:t>
            </w:r>
            <w:r w:rsidR="000F6BFD">
              <w:t>A</w:t>
            </w:r>
            <w:r>
              <w:t>dvokater opfordrer til, at den del af lovforslaget, der ikke ve</w:t>
            </w:r>
            <w:r>
              <w:t>d</w:t>
            </w:r>
            <w:r>
              <w:t xml:space="preserve">rører implementeringen af ændringen i </w:t>
            </w:r>
            <w:r w:rsidR="00190D7E">
              <w:t>moder-/datterselskabsdirektivet, først fremmes, når der er foretaget en nærmere analyse af bl.a. afgrænsni</w:t>
            </w:r>
            <w:r w:rsidR="00190D7E">
              <w:t>n</w:t>
            </w:r>
            <w:r w:rsidR="00190D7E">
              <w:t>gen mellem transaktioner, der ikke anses for båret af legitime kommerc</w:t>
            </w:r>
            <w:r w:rsidR="00190D7E">
              <w:t>i</w:t>
            </w:r>
            <w:r w:rsidR="00190D7E">
              <w:t>elle formål, herunder samspillet me</w:t>
            </w:r>
            <w:r w:rsidR="00190D7E">
              <w:t>l</w:t>
            </w:r>
            <w:r w:rsidR="00190D7E">
              <w:t>lem de nye misbrugsregler</w:t>
            </w:r>
            <w:r w:rsidR="000F6BFD">
              <w:t>,</w:t>
            </w:r>
            <w:r w:rsidR="00190D7E">
              <w:t xml:space="preserve"> og den praksis, der gennem en længere å</w:t>
            </w:r>
            <w:r w:rsidR="00190D7E">
              <w:t>r</w:t>
            </w:r>
            <w:r w:rsidR="00190D7E">
              <w:t>række</w:t>
            </w:r>
            <w:r w:rsidR="00CB4BCC">
              <w:t xml:space="preserve"> har udviklet sig i relation til omstruktureringer omfattet af fus</w:t>
            </w:r>
            <w:r w:rsidR="00CB4BCC">
              <w:t>i</w:t>
            </w:r>
            <w:r w:rsidR="00CB4BCC">
              <w:t>onsskattedirektivet.</w:t>
            </w:r>
            <w:r w:rsidR="00190D7E">
              <w:t xml:space="preserve"> </w:t>
            </w:r>
          </w:p>
          <w:p w:rsidR="007C489C" w:rsidRDefault="007C489C" w:rsidP="001A1477">
            <w:pPr>
              <w:pStyle w:val="Tabel-BrdtekstmedafstandptekstGaramond"/>
            </w:pPr>
          </w:p>
          <w:p w:rsidR="00CB4BCC" w:rsidRDefault="00CB4BCC" w:rsidP="001A1477">
            <w:pPr>
              <w:pStyle w:val="Tabel-BrdtekstmedafstandptekstGaramond"/>
            </w:pPr>
            <w:r>
              <w:t>Det er Danske Advokaters holdning, at det i relation til rente-royaltydirektivet og fusionsskatted</w:t>
            </w:r>
            <w:r>
              <w:t>i</w:t>
            </w:r>
            <w:r>
              <w:t xml:space="preserve">rektivet </w:t>
            </w:r>
            <w:r w:rsidR="00E13618">
              <w:t xml:space="preserve">ikke </w:t>
            </w:r>
            <w:r>
              <w:t>er nødvendigt at indføre et yderligere lag af værnsregler</w:t>
            </w:r>
            <w:r w:rsidR="00E13618">
              <w:t xml:space="preserve">. </w:t>
            </w:r>
          </w:p>
          <w:p w:rsidR="00E13618" w:rsidRDefault="00E13618" w:rsidP="001A1477">
            <w:pPr>
              <w:pStyle w:val="Tabel-BrdtekstmedafstandptekstGaramond"/>
            </w:pPr>
          </w:p>
          <w:p w:rsidR="009A72B8" w:rsidRDefault="009A72B8" w:rsidP="001A1477">
            <w:pPr>
              <w:pStyle w:val="Tabel-BrdtekstmedafstandptekstGaramond"/>
            </w:pPr>
          </w:p>
          <w:p w:rsidR="009A72B8" w:rsidRDefault="009A72B8" w:rsidP="001A1477">
            <w:pPr>
              <w:pStyle w:val="Tabel-BrdtekstmedafstandptekstGaramond"/>
            </w:pPr>
          </w:p>
          <w:p w:rsidR="009A72B8" w:rsidRDefault="009A72B8" w:rsidP="001A1477">
            <w:pPr>
              <w:pStyle w:val="Tabel-BrdtekstmedafstandptekstGaramond"/>
            </w:pPr>
          </w:p>
          <w:p w:rsidR="00B67793" w:rsidRDefault="00B67793" w:rsidP="001A1477">
            <w:pPr>
              <w:pStyle w:val="Tabel-BrdtekstmedafstandptekstGaramond"/>
            </w:pPr>
          </w:p>
          <w:p w:rsidR="00B67793" w:rsidRDefault="00B67793" w:rsidP="001A1477">
            <w:pPr>
              <w:pStyle w:val="Tabel-BrdtekstmedafstandptekstGaramond"/>
            </w:pPr>
          </w:p>
          <w:p w:rsidR="00B67793" w:rsidRDefault="00B67793" w:rsidP="001A1477">
            <w:pPr>
              <w:pStyle w:val="Tabel-BrdtekstmedafstandptekstGaramond"/>
            </w:pPr>
          </w:p>
          <w:p w:rsidR="00B67793" w:rsidRDefault="00B67793" w:rsidP="001A1477">
            <w:pPr>
              <w:pStyle w:val="Tabel-BrdtekstmedafstandptekstGaramond"/>
            </w:pPr>
          </w:p>
          <w:p w:rsidR="00EE3693" w:rsidRDefault="00D01D53" w:rsidP="001A1477">
            <w:pPr>
              <w:pStyle w:val="Tabel-BrdtekstmedafstandptekstGaramond"/>
            </w:pPr>
            <w:r>
              <w:t xml:space="preserve">Det er </w:t>
            </w:r>
            <w:r w:rsidR="00523D8E">
              <w:t>Danske Advokater</w:t>
            </w:r>
            <w:r>
              <w:t>s opfattelse, at en intern dansk misbrugsbeste</w:t>
            </w:r>
            <w:r>
              <w:t>m</w:t>
            </w:r>
            <w:r>
              <w:t>melse ikke vil få selvstændig bety</w:t>
            </w:r>
            <w:r>
              <w:t>d</w:t>
            </w:r>
            <w:r>
              <w:t>ning i relation til rente-/royaltydirektivet og fusionsskatted</w:t>
            </w:r>
            <w:r>
              <w:t>i</w:t>
            </w:r>
            <w:r>
              <w:t xml:space="preserve">rektivet. </w:t>
            </w:r>
            <w:r w:rsidR="00EE3693">
              <w:t>Det bør endvidere præcis</w:t>
            </w:r>
            <w:r w:rsidR="00EE3693">
              <w:t>e</w:t>
            </w:r>
            <w:r w:rsidR="00EE3693">
              <w:lastRenderedPageBreak/>
              <w:t>res, om misbrugsbestemmelsen i rel</w:t>
            </w:r>
            <w:r w:rsidR="00EE3693">
              <w:t>a</w:t>
            </w:r>
            <w:r w:rsidR="00EE3693">
              <w:t>tion til rente-royaltydirektivet og fus</w:t>
            </w:r>
            <w:r w:rsidR="00EE3693">
              <w:t>i</w:t>
            </w:r>
            <w:r w:rsidR="00EE3693">
              <w:t>onsskattedirektivet skal opfattes som en intern national dansk regel, som alene skal fortolkes baseret på nati</w:t>
            </w:r>
            <w:r w:rsidR="00EE3693">
              <w:t>o</w:t>
            </w:r>
            <w:r w:rsidR="00EE3693">
              <w:t>nale fortolkningsprincipper, eller om misbrugsbestemmelsen skal fortolkes EU-konformt.</w:t>
            </w:r>
          </w:p>
          <w:p w:rsidR="00EE3693" w:rsidRDefault="00EE3693" w:rsidP="001A1477">
            <w:pPr>
              <w:pStyle w:val="Tabel-BrdtekstmedafstandptekstGaramond"/>
            </w:pPr>
          </w:p>
          <w:p w:rsidR="00905905" w:rsidRDefault="00905905" w:rsidP="001A1477">
            <w:pPr>
              <w:pStyle w:val="Tabel-BrdtekstmedafstandptekstGaramond"/>
            </w:pPr>
          </w:p>
          <w:p w:rsidR="00905905" w:rsidRDefault="00905905" w:rsidP="001A1477">
            <w:pPr>
              <w:pStyle w:val="Tabel-BrdtekstmedafstandptekstGaramond"/>
            </w:pPr>
          </w:p>
          <w:p w:rsidR="00905905" w:rsidRDefault="00905905" w:rsidP="001A1477">
            <w:pPr>
              <w:pStyle w:val="Tabel-BrdtekstmedafstandptekstGaramond"/>
            </w:pPr>
          </w:p>
          <w:p w:rsidR="00905905" w:rsidRDefault="00905905" w:rsidP="001A1477">
            <w:pPr>
              <w:pStyle w:val="Tabel-BrdtekstmedafstandptekstGaramond"/>
            </w:pPr>
          </w:p>
          <w:p w:rsidR="00905905" w:rsidRDefault="00905905" w:rsidP="001A1477">
            <w:pPr>
              <w:pStyle w:val="Tabel-BrdtekstmedafstandptekstGaramond"/>
            </w:pPr>
          </w:p>
          <w:p w:rsidR="00E13618" w:rsidRDefault="00D01D53" w:rsidP="001A1477">
            <w:pPr>
              <w:pStyle w:val="Tabel-BrdtekstmedafstandptekstGaramond"/>
            </w:pPr>
            <w:r>
              <w:t xml:space="preserve">Hvis det fastholdes, at </w:t>
            </w:r>
            <w:r w:rsidR="00B67793">
              <w:t>omgåelseskla</w:t>
            </w:r>
            <w:r w:rsidR="00B67793">
              <w:t>u</w:t>
            </w:r>
            <w:r w:rsidR="00B67793">
              <w:t>sulen finder anvendelse på rente-royaltydirektivet og fusionsskatted</w:t>
            </w:r>
            <w:r w:rsidR="00B67793">
              <w:t>i</w:t>
            </w:r>
            <w:r w:rsidR="00B67793">
              <w:t>rektivet</w:t>
            </w:r>
            <w:r>
              <w:t>, bør det klart fremgå af lo</w:t>
            </w:r>
            <w:r>
              <w:t>v</w:t>
            </w:r>
            <w:r>
              <w:t>bemærkningerne, at de objektive re</w:t>
            </w:r>
            <w:r>
              <w:t>g</w:t>
            </w:r>
            <w:r>
              <w:t>ler i fusionsskatteloven og aktieava</w:t>
            </w:r>
            <w:r>
              <w:t>n</w:t>
            </w:r>
            <w:r>
              <w:t>cebeskatningsloven ikke vil blive p</w:t>
            </w:r>
            <w:r>
              <w:t>å</w:t>
            </w:r>
            <w:r>
              <w:t>virket af misbrugsbestemmelsen.</w:t>
            </w:r>
          </w:p>
          <w:p w:rsidR="00E13618" w:rsidRDefault="00E13618" w:rsidP="001A1477">
            <w:pPr>
              <w:pStyle w:val="Tabel-BrdtekstmedafstandptekstGaramond"/>
            </w:pPr>
          </w:p>
          <w:p w:rsidR="00E13618" w:rsidRDefault="00E13618" w:rsidP="001A1477">
            <w:pPr>
              <w:pStyle w:val="Tabel-BrdtekstmedafstandptekstGaramond"/>
            </w:pPr>
            <w:r>
              <w:t>Danske Advokater</w:t>
            </w:r>
            <w:r w:rsidR="00C635C9">
              <w:t xml:space="preserve"> anfører, at der er et modsætningsforhold mellem mi</w:t>
            </w:r>
            <w:r w:rsidR="00C635C9">
              <w:t>s</w:t>
            </w:r>
            <w:r w:rsidR="00C635C9">
              <w:t>brugsbestemmelsen i moder-datterselskabsdirektivet og den tran</w:t>
            </w:r>
            <w:r w:rsidR="00C635C9">
              <w:t>s</w:t>
            </w:r>
            <w:r w:rsidR="00C635C9">
              <w:t xml:space="preserve">aktionsbestemte </w:t>
            </w:r>
            <w:proofErr w:type="spellStart"/>
            <w:r w:rsidR="00C635C9">
              <w:t>beneficial</w:t>
            </w:r>
            <w:proofErr w:type="spellEnd"/>
            <w:r w:rsidR="00C635C9">
              <w:t xml:space="preserve"> </w:t>
            </w:r>
            <w:proofErr w:type="spellStart"/>
            <w:r w:rsidR="00C635C9">
              <w:t>owner</w:t>
            </w:r>
            <w:proofErr w:type="spellEnd"/>
            <w:r w:rsidR="00C635C9">
              <w:t xml:space="preserve"> test, der hidtil er anvendt af SKAT. Det er vanskeligt at forestille sig, at mi</w:t>
            </w:r>
            <w:r w:rsidR="00C635C9">
              <w:t>s</w:t>
            </w:r>
            <w:r w:rsidR="00C635C9">
              <w:t xml:space="preserve">brugsbestemmelsen i direktivet vil kunne finde anvendelse. </w:t>
            </w:r>
          </w:p>
          <w:p w:rsidR="00CB4BCC" w:rsidRDefault="00CB4BCC" w:rsidP="001A1477">
            <w:pPr>
              <w:pStyle w:val="Tabel-BrdtekstmedafstandptekstGaramond"/>
            </w:pPr>
          </w:p>
          <w:p w:rsidR="00CB4BCC" w:rsidRDefault="00CB4BCC" w:rsidP="001A1477">
            <w:pPr>
              <w:pStyle w:val="Tabel-BrdtekstmedafstandptekstGaramond"/>
            </w:pPr>
          </w:p>
          <w:p w:rsidR="00BB4D98" w:rsidRDefault="00BB4D98" w:rsidP="001A1477">
            <w:pPr>
              <w:pStyle w:val="Tabel-BrdtekstmedafstandptekstGaramond"/>
            </w:pPr>
          </w:p>
          <w:p w:rsidR="00BB4D98" w:rsidRDefault="00BB4D98" w:rsidP="001A1477">
            <w:pPr>
              <w:pStyle w:val="Tabel-BrdtekstmedafstandptekstGaramond"/>
            </w:pPr>
          </w:p>
          <w:p w:rsidR="00CB4BCC" w:rsidRDefault="00CB4BCC" w:rsidP="001A1477">
            <w:pPr>
              <w:pStyle w:val="Tabel-BrdtekstmedafstandptekstGaramond"/>
            </w:pPr>
          </w:p>
          <w:p w:rsidR="00B67793" w:rsidRDefault="00B67793" w:rsidP="001A1477">
            <w:pPr>
              <w:pStyle w:val="Tabel-BrdtekstmedafstandptekstGaramond"/>
            </w:pPr>
          </w:p>
          <w:p w:rsidR="000A304B" w:rsidRDefault="000A304B" w:rsidP="001A1477">
            <w:pPr>
              <w:pStyle w:val="Tabel-BrdtekstmedafstandptekstGaramond"/>
            </w:pPr>
          </w:p>
          <w:p w:rsidR="000A304B" w:rsidRPr="000A304B" w:rsidRDefault="000A304B" w:rsidP="001A1477">
            <w:pPr>
              <w:pStyle w:val="Tabel-BrdtekstmedafstandptekstGaramond"/>
            </w:pPr>
            <w:r>
              <w:t>Det er Danske Advokaters opfattelse, at den foreslåede omgåelsesklausul vedrørende dobbeltbeskatningsove</w:t>
            </w:r>
            <w:r>
              <w:t>r</w:t>
            </w:r>
            <w:r>
              <w:t xml:space="preserve">enskomster er en overtrædelse af Danmarks folkeretlige forpligtelser </w:t>
            </w:r>
            <w:r>
              <w:lastRenderedPageBreak/>
              <w:t>over for en række lande. Dette gælder i forhold til de dobbeltbeskatningsa</w:t>
            </w:r>
            <w:r>
              <w:t>f</w:t>
            </w:r>
            <w:r>
              <w:t>taler, som ikke indeholder beste</w:t>
            </w:r>
            <w:r>
              <w:t>m</w:t>
            </w:r>
            <w:r>
              <w:t xml:space="preserve">melser svarende til indholdet af den foreslåede omgåelsesklausul. </w:t>
            </w:r>
          </w:p>
          <w:p w:rsidR="000A304B" w:rsidRDefault="000A304B" w:rsidP="001A1477">
            <w:pPr>
              <w:pStyle w:val="Tabel-BrdtekstmedafstandptekstGaramond"/>
              <w:rPr>
                <w:u w:val="single"/>
              </w:rPr>
            </w:pPr>
          </w:p>
          <w:p w:rsidR="00523D8E" w:rsidRDefault="00AB16F7" w:rsidP="001A1477">
            <w:pPr>
              <w:pStyle w:val="Tabel-BrdtekstmedafstandptekstGaramond"/>
            </w:pPr>
            <w:r w:rsidRPr="00AB16F7">
              <w:t xml:space="preserve">Danske Advokater </w:t>
            </w:r>
            <w:r>
              <w:t>opfordrer til at l</w:t>
            </w:r>
            <w:r>
              <w:t>a</w:t>
            </w:r>
            <w:r>
              <w:t>de forslaget om en omgåelsesklausul vedrørende dobbeltbeskatningsaftaler bortfalde, indtil der foreligger et end</w:t>
            </w:r>
            <w:r>
              <w:t>e</w:t>
            </w:r>
            <w:r>
              <w:t xml:space="preserve">lig vedtaget konsensuspapir om en omgåelsesklausul i OECD. </w:t>
            </w:r>
          </w:p>
          <w:p w:rsidR="00523D8E" w:rsidRDefault="00523D8E" w:rsidP="001A1477">
            <w:pPr>
              <w:pStyle w:val="Tabel-BrdtekstmedafstandptekstGaramond"/>
            </w:pPr>
          </w:p>
          <w:p w:rsidR="000A304B" w:rsidRPr="00AB16F7" w:rsidRDefault="00AB16F7" w:rsidP="001A1477">
            <w:pPr>
              <w:pStyle w:val="Tabel-BrdtekstmedafstandptekstGaramond"/>
            </w:pPr>
            <w:r>
              <w:t>Når konsensuspapiret foreligger</w:t>
            </w:r>
            <w:r w:rsidR="00B67793">
              <w:t>,</w:t>
            </w:r>
            <w:r>
              <w:t xml:space="preserve"> skal omgåelsesklausulen ikke indsættes i national ret, men derimod impleme</w:t>
            </w:r>
            <w:r>
              <w:t>n</w:t>
            </w:r>
            <w:r>
              <w:t>teres i forbindelse med efterfølgende genforhandling af de enkelte dobbel</w:t>
            </w:r>
            <w:r>
              <w:t>t</w:t>
            </w:r>
            <w:r>
              <w:t xml:space="preserve">beskatningsoverenskomster. </w:t>
            </w:r>
          </w:p>
          <w:p w:rsidR="000A304B" w:rsidRDefault="000A304B" w:rsidP="001A1477">
            <w:pPr>
              <w:pStyle w:val="Tabel-BrdtekstmedafstandptekstGaramond"/>
              <w:rPr>
                <w:u w:val="single"/>
              </w:rPr>
            </w:pPr>
          </w:p>
          <w:p w:rsidR="00BB4D98" w:rsidRDefault="00BB4D98" w:rsidP="001A1477">
            <w:pPr>
              <w:pStyle w:val="Tabel-BrdtekstmedafstandptekstGaramond"/>
              <w:rPr>
                <w:u w:val="single"/>
              </w:rPr>
            </w:pPr>
          </w:p>
          <w:p w:rsidR="00BB4D98" w:rsidRDefault="00BB4D98" w:rsidP="001A1477">
            <w:pPr>
              <w:pStyle w:val="Tabel-BrdtekstmedafstandptekstGaramond"/>
              <w:rPr>
                <w:u w:val="single"/>
              </w:rPr>
            </w:pPr>
          </w:p>
          <w:p w:rsidR="007C489C" w:rsidRDefault="007C489C" w:rsidP="001A1477">
            <w:pPr>
              <w:pStyle w:val="Tabel-BrdtekstmedafstandptekstGaramond"/>
              <w:rPr>
                <w:u w:val="single"/>
              </w:rPr>
            </w:pPr>
            <w:r>
              <w:rPr>
                <w:u w:val="single"/>
              </w:rPr>
              <w:t>Trusts</w:t>
            </w:r>
          </w:p>
          <w:p w:rsidR="007C489C" w:rsidRDefault="007C489C" w:rsidP="001A1477">
            <w:pPr>
              <w:pStyle w:val="Tabel-BrdtekstmedafstandptekstGaramond"/>
            </w:pPr>
            <w:r>
              <w:t>Lovforslaget omfatter kun en del af beskatningen af trust</w:t>
            </w:r>
            <w:r w:rsidR="006940AA">
              <w:t>s</w:t>
            </w:r>
            <w:r>
              <w:t>. Eksempelvis er hele modtagerbeskatningen ikke b</w:t>
            </w:r>
            <w:r>
              <w:t>e</w:t>
            </w:r>
            <w:r>
              <w:t>rørt.</w:t>
            </w:r>
          </w:p>
          <w:p w:rsidR="007C489C" w:rsidRDefault="007C489C" w:rsidP="001A1477">
            <w:pPr>
              <w:pStyle w:val="Tabel-BrdtekstmedafstandptekstGaramond"/>
            </w:pPr>
          </w:p>
          <w:p w:rsidR="00807AE9" w:rsidRDefault="00807AE9" w:rsidP="001A1477">
            <w:pPr>
              <w:pStyle w:val="Tabel-BrdtekstmedafstandptekstGaramond"/>
            </w:pPr>
          </w:p>
          <w:p w:rsidR="009F1C24" w:rsidRDefault="009F1C24" w:rsidP="001A1477">
            <w:pPr>
              <w:pStyle w:val="Tabel-BrdtekstmedafstandptekstGaramond"/>
            </w:pPr>
          </w:p>
          <w:p w:rsidR="00365201" w:rsidRDefault="00365201" w:rsidP="001A1477">
            <w:pPr>
              <w:pStyle w:val="Tabel-BrdtekstmedafstandptekstGaramond"/>
            </w:pPr>
          </w:p>
          <w:p w:rsidR="007C489C" w:rsidRDefault="007C489C" w:rsidP="001A1477">
            <w:pPr>
              <w:pStyle w:val="Tabel-BrdtekstmedafstandptekstGaramond"/>
            </w:pPr>
            <w:r>
              <w:t>Danske Advokater mener, at lo</w:t>
            </w:r>
            <w:r>
              <w:t>v</w:t>
            </w:r>
            <w:r>
              <w:t>forslaget bør udsættes til, at d</w:t>
            </w:r>
            <w:r w:rsidR="006940AA">
              <w:t>er har været et</w:t>
            </w:r>
            <w:r w:rsidR="00912029">
              <w:t xml:space="preserve"> grundig</w:t>
            </w:r>
            <w:r w:rsidR="006940AA">
              <w:t>t</w:t>
            </w:r>
            <w:r w:rsidR="00912029">
              <w:t xml:space="preserve"> eksternt lovforber</w:t>
            </w:r>
            <w:r w:rsidR="00912029">
              <w:t>e</w:t>
            </w:r>
            <w:r w:rsidR="00912029">
              <w:t>dende udvalg.</w:t>
            </w:r>
            <w:r>
              <w:t xml:space="preserve"> </w:t>
            </w:r>
          </w:p>
          <w:p w:rsidR="007C489C" w:rsidRDefault="007C489C" w:rsidP="001A1477">
            <w:pPr>
              <w:pStyle w:val="Tabel-BrdtekstmedafstandptekstGaramond"/>
            </w:pPr>
          </w:p>
          <w:p w:rsidR="00912029" w:rsidRDefault="007C489C" w:rsidP="007C489C">
            <w:pPr>
              <w:pStyle w:val="Tabel-BrdtekstmedafstandptekstGaramond"/>
            </w:pPr>
            <w:r>
              <w:t>Overordnet har Danske Advokater ikke et indtryk af, at fuldt skattepligt</w:t>
            </w:r>
            <w:r>
              <w:t>i</w:t>
            </w:r>
            <w:r>
              <w:t xml:space="preserve">ge </w:t>
            </w:r>
            <w:r w:rsidR="006940AA">
              <w:t xml:space="preserve">danske personer </w:t>
            </w:r>
            <w:r>
              <w:t xml:space="preserve">aktivt opretter trusts mv. i udlandet. </w:t>
            </w:r>
            <w:r w:rsidR="00912029">
              <w:t>Problemstilli</w:t>
            </w:r>
            <w:r w:rsidR="00912029">
              <w:t>n</w:t>
            </w:r>
            <w:r w:rsidR="00912029">
              <w:t>gen ses oftest i forbindelse med ti</w:t>
            </w:r>
            <w:r w:rsidR="00912029">
              <w:t>l</w:t>
            </w:r>
            <w:r w:rsidR="00912029">
              <w:t>flytning, herunder tilbageflytning, til Danmark.</w:t>
            </w:r>
          </w:p>
          <w:p w:rsidR="00912029" w:rsidRDefault="00912029" w:rsidP="007C489C">
            <w:pPr>
              <w:pStyle w:val="Tabel-BrdtekstmedafstandptekstGaramond"/>
            </w:pPr>
          </w:p>
          <w:p w:rsidR="00912029" w:rsidRDefault="00912029" w:rsidP="007C489C">
            <w:pPr>
              <w:pStyle w:val="Tabel-BrdtekstmedafstandptekstGaramond"/>
            </w:pPr>
            <w:r>
              <w:lastRenderedPageBreak/>
              <w:t>Lovforslaget indebærer en mere vid</w:t>
            </w:r>
            <w:r>
              <w:t>t</w:t>
            </w:r>
            <w:r>
              <w:t xml:space="preserve">gående beskatning end </w:t>
            </w:r>
            <w:r w:rsidR="006940AA">
              <w:t xml:space="preserve">en </w:t>
            </w:r>
            <w:r>
              <w:t>transparent beskatning af stifteren, idet der alene sker en beskatning af den positive indkomst i trusten.</w:t>
            </w:r>
          </w:p>
          <w:p w:rsidR="00C219C4" w:rsidRDefault="00C219C4" w:rsidP="00912029">
            <w:pPr>
              <w:pStyle w:val="Tabel-BrdtekstmedafstandptekstGaramond"/>
            </w:pPr>
          </w:p>
          <w:p w:rsidR="00912029" w:rsidRDefault="00912029" w:rsidP="00912029">
            <w:pPr>
              <w:pStyle w:val="Tabel-BrdtekstmedafstandptekstGaramond"/>
            </w:pPr>
            <w:r>
              <w:t xml:space="preserve">Det bør præciseres, om indkomsten skal fordeles på alle stiftere eller alene til stiftere omfattet af bestemmelsen. Tilsvarende gælder </w:t>
            </w:r>
            <w:proofErr w:type="spellStart"/>
            <w:r>
              <w:t>fsva</w:t>
            </w:r>
            <w:proofErr w:type="spellEnd"/>
            <w:r>
              <w:t>. andre pers</w:t>
            </w:r>
            <w:r>
              <w:t>o</w:t>
            </w:r>
            <w:r>
              <w:t>ner, der indskyder midler i trusten.</w:t>
            </w:r>
          </w:p>
          <w:p w:rsidR="00912029" w:rsidRDefault="00912029" w:rsidP="00912029">
            <w:pPr>
              <w:pStyle w:val="Tabel-BrdtekstmedafstandptekstGaramond"/>
            </w:pPr>
          </w:p>
          <w:p w:rsidR="005D6BCC" w:rsidRDefault="00912029" w:rsidP="005D6BCC">
            <w:pPr>
              <w:pStyle w:val="Tabel-BrdtekstmedafstandptekstGaramond"/>
            </w:pPr>
            <w:r>
              <w:t xml:space="preserve">Danske Advokater </w:t>
            </w:r>
            <w:r w:rsidR="005D6BCC">
              <w:t>spørger om lo</w:t>
            </w:r>
            <w:r w:rsidR="005D6BCC">
              <w:t>v</w:t>
            </w:r>
            <w:r w:rsidR="005D6BCC">
              <w:t xml:space="preserve">forslaget skal fortolkes </w:t>
            </w:r>
            <w:r>
              <w:t>således, at pe</w:t>
            </w:r>
            <w:r>
              <w:t>r</w:t>
            </w:r>
            <w:r>
              <w:t xml:space="preserve">soner, der </w:t>
            </w:r>
            <w:r w:rsidR="005D6BCC">
              <w:t>ikke er omfattet af stk. 1 og 2 - fx udlændi</w:t>
            </w:r>
            <w:r w:rsidR="006940AA">
              <w:t>n</w:t>
            </w:r>
            <w:r w:rsidR="005D6BCC">
              <w:t xml:space="preserve">ge, der stifter en trust og </w:t>
            </w:r>
            <w:r>
              <w:t>flytter til Danmark</w:t>
            </w:r>
            <w:r w:rsidR="005D6BCC">
              <w:t xml:space="preserve"> - hvor trusten ikke opfylder kriterierne for udskille</w:t>
            </w:r>
            <w:r w:rsidR="005D6BCC">
              <w:t>l</w:t>
            </w:r>
            <w:r w:rsidR="005D6BCC">
              <w:t>se af formuen, ikke skal beskattes af afkastet af formuen.</w:t>
            </w:r>
          </w:p>
          <w:p w:rsidR="005D6BCC" w:rsidRDefault="005D6BCC" w:rsidP="005D6BCC">
            <w:pPr>
              <w:pStyle w:val="Tabel-BrdtekstmedafstandptekstGaramond"/>
            </w:pPr>
          </w:p>
          <w:p w:rsidR="00365201" w:rsidRDefault="00365201" w:rsidP="005D6BCC">
            <w:pPr>
              <w:pStyle w:val="Tabel-BrdtekstmedafstandptekstGaramond"/>
            </w:pPr>
          </w:p>
          <w:p w:rsidR="006207CB" w:rsidRDefault="006207CB" w:rsidP="005D6BCC">
            <w:pPr>
              <w:pStyle w:val="Tabel-BrdtekstmedafstandptekstGaramond"/>
            </w:pPr>
            <w:r>
              <w:t>Efter Danske Advokaters opfattelse bør det til brug for fordelingen af indkomsten præciseres</w:t>
            </w:r>
            <w:r w:rsidR="006940AA">
              <w:t>,</w:t>
            </w:r>
            <w:r>
              <w:t xml:space="preserve"> på hvilket tidspunkt værdiansættelsen af aktive</w:t>
            </w:r>
            <w:r>
              <w:t>r</w:t>
            </w:r>
            <w:r>
              <w:t xml:space="preserve">ne skal ske, idet indskud kan ske på forskellige tidspunkter. </w:t>
            </w:r>
          </w:p>
          <w:p w:rsidR="006207CB" w:rsidRDefault="006207CB" w:rsidP="005D6BCC">
            <w:pPr>
              <w:pStyle w:val="Tabel-BrdtekstmedafstandptekstGaramond"/>
            </w:pPr>
          </w:p>
          <w:p w:rsidR="007C489C" w:rsidRDefault="005D6BCC" w:rsidP="005D6BCC">
            <w:pPr>
              <w:pStyle w:val="Tabel-BrdtekstmedafstandptekstGaramond"/>
            </w:pPr>
            <w:r>
              <w:t>Danske Advokater mener, at b</w:t>
            </w:r>
            <w:r>
              <w:t>e</w:t>
            </w:r>
            <w:r>
              <w:t>stemmelsen om uddelinger til stift</w:t>
            </w:r>
            <w:r>
              <w:t>e</w:t>
            </w:r>
            <w:r>
              <w:t>ren bør præciseres, så der ikke er ris</w:t>
            </w:r>
            <w:r>
              <w:t>i</w:t>
            </w:r>
            <w:r>
              <w:t xml:space="preserve">ko for dobbeltbeskatning. </w:t>
            </w:r>
            <w:r w:rsidR="007C489C">
              <w:t xml:space="preserve"> </w:t>
            </w:r>
          </w:p>
          <w:p w:rsidR="00C05FBA" w:rsidRDefault="00C05FBA" w:rsidP="005D6BCC">
            <w:pPr>
              <w:pStyle w:val="Tabel-BrdtekstmedafstandptekstGaramond"/>
            </w:pPr>
          </w:p>
          <w:p w:rsidR="00C05FBA" w:rsidRDefault="00C05FBA" w:rsidP="005D6BCC">
            <w:pPr>
              <w:pStyle w:val="Tabel-BrdtekstmedafstandptekstGaramond"/>
              <w:rPr>
                <w:u w:val="single"/>
              </w:rPr>
            </w:pPr>
            <w:r w:rsidRPr="00C05FBA">
              <w:rPr>
                <w:u w:val="single"/>
              </w:rPr>
              <w:t>Bindende svar</w:t>
            </w:r>
          </w:p>
          <w:p w:rsidR="00C05FBA" w:rsidRDefault="00C05FBA" w:rsidP="00C05FBA">
            <w:pPr>
              <w:pStyle w:val="Tabel-BrdtekstmedafstandptekstGaramond"/>
            </w:pPr>
            <w:r w:rsidRPr="00C05FBA">
              <w:t>Dansk Advokater mener, at det er overflødigt at lovgive om bindingsp</w:t>
            </w:r>
            <w:r w:rsidRPr="00C05FBA">
              <w:t>e</w:t>
            </w:r>
            <w:r w:rsidRPr="00C05FBA">
              <w:t>rioden, når praksis allerede er, at bi</w:t>
            </w:r>
            <w:r w:rsidRPr="00C05FBA">
              <w:t>n</w:t>
            </w:r>
            <w:r w:rsidRPr="00C05FBA">
              <w:t>dingsperioden maksimeres til 6 m</w:t>
            </w:r>
            <w:r w:rsidRPr="00C05FBA">
              <w:t>å</w:t>
            </w:r>
            <w:r w:rsidRPr="00C05FBA">
              <w:t xml:space="preserve">neder. </w:t>
            </w:r>
          </w:p>
          <w:p w:rsidR="00C05FBA" w:rsidRPr="00C05FBA" w:rsidRDefault="00C05FBA" w:rsidP="00C05FBA">
            <w:pPr>
              <w:pStyle w:val="Tabel-BrdtekstmedafstandptekstGaramond"/>
            </w:pPr>
          </w:p>
          <w:p w:rsidR="00C05FBA" w:rsidRDefault="00C05FBA" w:rsidP="00C05FBA">
            <w:pPr>
              <w:pStyle w:val="Tabel-BrdtekstmedafstandptekstGaramond"/>
            </w:pPr>
            <w:r w:rsidRPr="00C05FBA">
              <w:t>Den forslåede lovfæstelse forstås s</w:t>
            </w:r>
            <w:r w:rsidRPr="00C05FBA">
              <w:t>å</w:t>
            </w:r>
            <w:r w:rsidRPr="00C05FBA">
              <w:t xml:space="preserve">ledes, at hvis der disponeres inden for de 6 måneder, så er det bindende svar </w:t>
            </w:r>
            <w:r w:rsidRPr="00C05FBA">
              <w:lastRenderedPageBreak/>
              <w:t xml:space="preserve">bindende for SKAT med forbehold af den foreslåede regel og de gældende regler i skatteforvaltningslovens § 25, stk. 2, 1. og 2. pkt. </w:t>
            </w:r>
          </w:p>
          <w:p w:rsidR="00C05FBA" w:rsidRPr="00C05FBA" w:rsidRDefault="00C05FBA" w:rsidP="00C05FBA">
            <w:pPr>
              <w:pStyle w:val="Tabel-BrdtekstmedafstandptekstGaramond"/>
            </w:pPr>
          </w:p>
          <w:p w:rsidR="00C05FBA" w:rsidRDefault="00C05FBA" w:rsidP="00C05FBA">
            <w:pPr>
              <w:pStyle w:val="Tabel-BrdtekstmedafstandptekstGaramond"/>
            </w:pPr>
            <w:r w:rsidRPr="00C05FBA">
              <w:t>Det er yderligere Danske Advokaters opfattelse, at selv om der ikke er d</w:t>
            </w:r>
            <w:r w:rsidRPr="00C05FBA">
              <w:t>i</w:t>
            </w:r>
            <w:r w:rsidRPr="00C05FBA">
              <w:t>sponeret inden for de 6 måneder, s</w:t>
            </w:r>
            <w:r w:rsidRPr="00C05FBA">
              <w:t>å</w:t>
            </w:r>
            <w:r w:rsidRPr="00C05FBA">
              <w:t>ledes at SKAT ikke er bundet, så bør der dog skulle foreligge ganske v</w:t>
            </w:r>
            <w:r w:rsidRPr="00C05FBA">
              <w:t>æ</w:t>
            </w:r>
            <w:r w:rsidRPr="00C05FBA">
              <w:t>sentlige grunde til en fravigelse af det bindende svar, hvis de faktiske og re</w:t>
            </w:r>
            <w:r w:rsidRPr="00C05FBA">
              <w:t>t</w:t>
            </w:r>
            <w:r w:rsidRPr="00C05FBA">
              <w:t xml:space="preserve">lige omstændigheder fortsat er de samme. </w:t>
            </w:r>
          </w:p>
          <w:p w:rsidR="00C05FBA" w:rsidRDefault="00C05FBA" w:rsidP="00C05FBA">
            <w:pPr>
              <w:pStyle w:val="Tabel-BrdtekstmedafstandptekstGaramond"/>
            </w:pPr>
          </w:p>
          <w:p w:rsidR="00C05FBA" w:rsidRDefault="00C05FBA" w:rsidP="00C05FBA">
            <w:pPr>
              <w:pStyle w:val="Tabel-BrdtekstmedafstandptekstGaramond"/>
            </w:pPr>
          </w:p>
          <w:p w:rsidR="00C05FBA" w:rsidRPr="00C05FBA" w:rsidRDefault="00C05FBA" w:rsidP="00C05FBA">
            <w:pPr>
              <w:pStyle w:val="Tabel-BrdtekstmedafstandptekstGaramond"/>
            </w:pPr>
          </w:p>
          <w:p w:rsidR="00C05FBA" w:rsidRDefault="00C05FBA" w:rsidP="00C05FBA">
            <w:pPr>
              <w:pStyle w:val="Tabel-BrdtekstmedafstandptekstGaramond"/>
            </w:pPr>
            <w:r w:rsidRPr="00C05FBA">
              <w:t xml:space="preserve">Der savnes en udførlig afklaring af samspillet mellem virkningsperioden på de 6 måneder og den almindelige ligningsfrist, bl.a. henset til at der efter Danske Advokaters opfattelse ikke er hjemmel til at kræve ligningsmæssige oplysninger efter et skattepligtsophør. </w:t>
            </w: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337E3C" w:rsidRDefault="00337E3C" w:rsidP="00C05FBA">
            <w:pPr>
              <w:pStyle w:val="Tabel-BrdtekstmedafstandptekstGaramond"/>
            </w:pPr>
          </w:p>
          <w:p w:rsidR="00337E3C" w:rsidRDefault="00337E3C" w:rsidP="00C05FBA">
            <w:pPr>
              <w:pStyle w:val="Tabel-BrdtekstmedafstandptekstGaramond"/>
            </w:pPr>
          </w:p>
          <w:p w:rsidR="00C05FBA" w:rsidRPr="00C05FBA" w:rsidRDefault="00C05FBA" w:rsidP="00C05FBA">
            <w:pPr>
              <w:pStyle w:val="Tabel-BrdtekstmedafstandptekstGaramond"/>
            </w:pPr>
          </w:p>
          <w:p w:rsidR="00337E3C" w:rsidRDefault="00337E3C" w:rsidP="00C05FBA">
            <w:pPr>
              <w:pStyle w:val="Tabel-BrdtekstmedafstandptekstGaramond"/>
            </w:pPr>
          </w:p>
          <w:p w:rsidR="00337E3C" w:rsidRDefault="00337E3C" w:rsidP="00C05FBA">
            <w:pPr>
              <w:pStyle w:val="Tabel-BrdtekstmedafstandptekstGaramond"/>
            </w:pPr>
          </w:p>
          <w:p w:rsidR="00337E3C" w:rsidRDefault="00337E3C" w:rsidP="00C05FBA">
            <w:pPr>
              <w:pStyle w:val="Tabel-BrdtekstmedafstandptekstGaramond"/>
            </w:pPr>
          </w:p>
          <w:p w:rsidR="00337E3C" w:rsidRDefault="00337E3C" w:rsidP="00C05FBA">
            <w:pPr>
              <w:pStyle w:val="Tabel-BrdtekstmedafstandptekstGaramond"/>
            </w:pPr>
          </w:p>
          <w:p w:rsidR="00337E3C" w:rsidRDefault="00337E3C" w:rsidP="00C05FBA">
            <w:pPr>
              <w:pStyle w:val="Tabel-BrdtekstmedafstandptekstGaramond"/>
            </w:pPr>
          </w:p>
          <w:p w:rsidR="00337E3C" w:rsidRDefault="00337E3C" w:rsidP="00C05FBA">
            <w:pPr>
              <w:pStyle w:val="Tabel-BrdtekstmedafstandptekstGaramond"/>
            </w:pPr>
          </w:p>
          <w:p w:rsidR="00C05FBA" w:rsidRDefault="00C05FBA" w:rsidP="00C05FBA">
            <w:pPr>
              <w:pStyle w:val="Tabel-BrdtekstmedafstandptekstGaramond"/>
            </w:pPr>
            <w:r w:rsidRPr="00C05FBA">
              <w:t>Danske Advokater finder, at u</w:t>
            </w:r>
            <w:r w:rsidRPr="00C05FBA">
              <w:t>d</w:t>
            </w:r>
            <w:r w:rsidRPr="00C05FBA">
              <w:t>gangspunktet fortsat må være, at der kan søges bindende svar, men således at SKAT kan indsætte særlige vilkår i det bindende svar, for at imødegå den situation at efterfølgende omstændi</w:t>
            </w:r>
            <w:r w:rsidRPr="00C05FBA">
              <w:t>g</w:t>
            </w:r>
            <w:r w:rsidRPr="00C05FBA">
              <w:t>heder viser</w:t>
            </w:r>
            <w:r w:rsidR="006940AA">
              <w:t>,</w:t>
            </w:r>
            <w:r w:rsidRPr="00C05FBA">
              <w:t xml:space="preserve"> at oplysningsgrundlaget for det bindende svar har været ma</w:t>
            </w:r>
            <w:r w:rsidRPr="00C05FBA">
              <w:t>n</w:t>
            </w:r>
            <w:r w:rsidRPr="00C05FBA">
              <w:t>gelfuldt. Opretholdes forslaget</w:t>
            </w:r>
            <w:r w:rsidR="006940AA">
              <w:t>,</w:t>
            </w:r>
            <w:r w:rsidRPr="00C05FBA">
              <w:t xml:space="preserve"> bør det reserveres til særlige situationer, således at begrænsningen alene kan bringes i anvendelse, hvis der vurd</w:t>
            </w:r>
            <w:r w:rsidRPr="00C05FBA">
              <w:t>e</w:t>
            </w:r>
            <w:r w:rsidRPr="00C05FBA">
              <w:t xml:space="preserve">res at være et konkret behov herfor. </w:t>
            </w:r>
          </w:p>
          <w:p w:rsidR="00C05FBA" w:rsidRPr="00C05FBA" w:rsidRDefault="00C05FBA" w:rsidP="00C05FBA">
            <w:pPr>
              <w:pStyle w:val="Tabel-BrdtekstmedafstandptekstGaramond"/>
            </w:pPr>
          </w:p>
          <w:p w:rsidR="00C05FBA" w:rsidRDefault="00C05FBA" w:rsidP="00C05FBA">
            <w:pPr>
              <w:pStyle w:val="Tabel-BrdtekstmedafstandptekstGaramond"/>
            </w:pPr>
            <w:r w:rsidRPr="00C05FBA">
              <w:t xml:space="preserve">Efter Danske </w:t>
            </w:r>
            <w:r w:rsidR="006940AA">
              <w:t>A</w:t>
            </w:r>
            <w:r w:rsidRPr="00C05FBA">
              <w:t>dvokaters opfattelse bør det fremgå tydeligt af den foresl</w:t>
            </w:r>
            <w:r w:rsidRPr="00C05FBA">
              <w:t>å</w:t>
            </w:r>
            <w:r w:rsidRPr="00C05FBA">
              <w:t>ede regel, at en overskridelse af b</w:t>
            </w:r>
            <w:r w:rsidRPr="00C05FBA">
              <w:t>e</w:t>
            </w:r>
            <w:r w:rsidRPr="00C05FBA">
              <w:t>løbsgrænsen ikke automatisk medf</w:t>
            </w:r>
            <w:r w:rsidRPr="00C05FBA">
              <w:t>ø</w:t>
            </w:r>
            <w:r w:rsidRPr="00C05FBA">
              <w:t xml:space="preserve">rer et bortfald. </w:t>
            </w: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Pr="00C05FBA" w:rsidRDefault="00C05FBA" w:rsidP="00C05FBA">
            <w:pPr>
              <w:pStyle w:val="Tabel-BrdtekstmedafstandptekstGaramond"/>
            </w:pPr>
          </w:p>
          <w:p w:rsidR="00C05FBA" w:rsidRDefault="00C05FBA" w:rsidP="00C05FBA">
            <w:pPr>
              <w:pStyle w:val="Tabel-BrdtekstmedafstandptekstGaramond"/>
            </w:pPr>
            <w:r w:rsidRPr="00C05FBA">
              <w:t>Endvidere bør det uddybes, hvilke kriterier der ligger til grund for a</w:t>
            </w:r>
            <w:r w:rsidRPr="00C05FBA">
              <w:t>f</w:t>
            </w:r>
            <w:r w:rsidRPr="00C05FBA">
              <w:t xml:space="preserve">kastvurderingen. </w:t>
            </w:r>
          </w:p>
          <w:p w:rsidR="00C05FBA" w:rsidRPr="00C05FBA" w:rsidRDefault="00C05FBA" w:rsidP="00C05FBA">
            <w:pPr>
              <w:pStyle w:val="Tabel-BrdtekstmedafstandptekstGaramond"/>
            </w:pPr>
          </w:p>
          <w:p w:rsidR="00C05FBA" w:rsidRDefault="00C05FBA" w:rsidP="00C05FBA">
            <w:pPr>
              <w:pStyle w:val="Tabel-BrdtekstmedafstandptekstGaramond"/>
            </w:pPr>
            <w:r w:rsidRPr="00C05FBA">
              <w:t>Derudover efterlyses eksempler, der kan anskueliggøre de foreslåede re</w:t>
            </w:r>
            <w:r w:rsidRPr="00C05FBA">
              <w:t>g</w:t>
            </w:r>
            <w:r w:rsidRPr="00C05FBA">
              <w:t xml:space="preserve">lers anvendelsesområde. </w:t>
            </w: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Default="00C05FBA" w:rsidP="00C05FBA">
            <w:pPr>
              <w:pStyle w:val="Tabel-BrdtekstmedafstandptekstGaramond"/>
            </w:pPr>
          </w:p>
          <w:p w:rsidR="00C05FBA" w:rsidRPr="00C05FBA" w:rsidRDefault="00C05FBA" w:rsidP="00C05FBA">
            <w:pPr>
              <w:pStyle w:val="Tabel-BrdtekstmedafstandptekstGaramond"/>
            </w:pPr>
          </w:p>
          <w:p w:rsidR="00C05FBA" w:rsidRDefault="00C05FBA" w:rsidP="00C05FBA">
            <w:pPr>
              <w:pStyle w:val="Tabel-BrdtekstmedafstandptekstGaramond"/>
            </w:pPr>
            <w:r w:rsidRPr="00C05FBA">
              <w:t xml:space="preserve">Danske Advokater mener, at det bør overvejes i stedet at indføre en regel om afgivelse af en erklæring om, at </w:t>
            </w:r>
            <w:r w:rsidRPr="00C05FBA">
              <w:lastRenderedPageBreak/>
              <w:t xml:space="preserve">der ikke er planer om at sælge inden for en periode på fx 3 år. </w:t>
            </w:r>
          </w:p>
          <w:p w:rsidR="00C05FBA" w:rsidRPr="00C05FBA" w:rsidRDefault="00C05FBA" w:rsidP="00C05FBA">
            <w:pPr>
              <w:pStyle w:val="Tabel-BrdtekstmedafstandptekstGaramond"/>
            </w:pPr>
          </w:p>
          <w:p w:rsidR="00C05FBA" w:rsidRPr="00C05FBA" w:rsidRDefault="00C05FBA" w:rsidP="00C05FBA">
            <w:pPr>
              <w:pStyle w:val="Tabel-BrdtekstmedafstandptekstGaramond"/>
            </w:pPr>
            <w:r w:rsidRPr="00C05FBA">
              <w:t>Endelig bedes det oplyst, om SKAT kan annullere et bindende svar ud fra andre bestemmelser i skatteforval</w:t>
            </w:r>
            <w:r w:rsidRPr="00C05FBA">
              <w:t>t</w:t>
            </w:r>
            <w:r w:rsidRPr="00C05FBA">
              <w:t xml:space="preserve">ningslovens § 25, hvis grænsen på 1 mio. kr. ikke er overskredet. </w:t>
            </w:r>
          </w:p>
        </w:tc>
        <w:tc>
          <w:tcPr>
            <w:tcW w:w="112" w:type="dxa"/>
            <w:shd w:val="clear" w:color="auto" w:fill="FFFFFF" w:themeFill="background1"/>
          </w:tcPr>
          <w:p w:rsidR="004663A1" w:rsidRPr="00B5346F" w:rsidRDefault="004663A1" w:rsidP="001A1477"/>
        </w:tc>
        <w:tc>
          <w:tcPr>
            <w:tcW w:w="3665" w:type="dxa"/>
            <w:tcBorders>
              <w:top w:val="single" w:sz="4" w:space="0" w:color="14143C" w:themeColor="accent1"/>
              <w:bottom w:val="single" w:sz="4" w:space="0" w:color="14143C" w:themeColor="accent1"/>
            </w:tcBorders>
            <w:shd w:val="clear" w:color="auto" w:fill="D2CED8"/>
          </w:tcPr>
          <w:p w:rsidR="004663A1" w:rsidRDefault="007C489C" w:rsidP="003B1577">
            <w:pPr>
              <w:pStyle w:val="Tabel-BrdtekstmedafstandptekstGaramond"/>
            </w:pPr>
            <w:r>
              <w:t xml:space="preserve">Det </w:t>
            </w:r>
            <w:r w:rsidR="006207CB">
              <w:t>bestræbes</w:t>
            </w:r>
            <w:r>
              <w:t xml:space="preserve"> altid at sikre en gru</w:t>
            </w:r>
            <w:r>
              <w:t>n</w:t>
            </w:r>
            <w:r>
              <w:t xml:space="preserve">digt gennemarbejdet lovgivning. </w:t>
            </w:r>
            <w:r w:rsidR="006207CB">
              <w:t>Et af midlerne hertil er, at d</w:t>
            </w:r>
            <w:r>
              <w:t xml:space="preserve">er sættes </w:t>
            </w:r>
            <w:r w:rsidR="006207CB">
              <w:t>ti</w:t>
            </w:r>
            <w:r w:rsidR="006207CB">
              <w:t>l</w:t>
            </w:r>
            <w:r w:rsidR="006207CB">
              <w:t xml:space="preserve">strækkelig </w:t>
            </w:r>
            <w:r>
              <w:t>tid af til en grundig ekstern høring, hvor faglig</w:t>
            </w:r>
            <w:r w:rsidR="006A63B6">
              <w:t>t</w:t>
            </w:r>
            <w:r>
              <w:t xml:space="preserve"> input kan forbe</w:t>
            </w:r>
            <w:r>
              <w:t>d</w:t>
            </w:r>
            <w:r>
              <w:t xml:space="preserve">re </w:t>
            </w:r>
            <w:r w:rsidR="006207CB">
              <w:t>lov</w:t>
            </w:r>
            <w:r>
              <w:t>kvaliteten.</w:t>
            </w:r>
          </w:p>
          <w:p w:rsidR="0085012B" w:rsidRDefault="0085012B" w:rsidP="003B1577">
            <w:pPr>
              <w:pStyle w:val="Tabel-BrdtekstmedafstandptekstGaramond"/>
            </w:pPr>
          </w:p>
          <w:p w:rsidR="0085012B" w:rsidRDefault="0085012B" w:rsidP="007C489C">
            <w:pPr>
              <w:pStyle w:val="Tabel-BrdtekstmedafstandptekstGaramond"/>
            </w:pPr>
            <w:r>
              <w:t xml:space="preserve">Dette lovforslag bygger dels på en </w:t>
            </w:r>
            <w:r w:rsidR="007C489C">
              <w:t xml:space="preserve">rapport fra en </w:t>
            </w:r>
            <w:r>
              <w:t xml:space="preserve">tværministeriel </w:t>
            </w:r>
            <w:proofErr w:type="spellStart"/>
            <w:r w:rsidR="007C489C">
              <w:t>task</w:t>
            </w:r>
            <w:proofErr w:type="spellEnd"/>
            <w:r w:rsidR="007C489C">
              <w:t xml:space="preserve"> </w:t>
            </w:r>
            <w:r w:rsidR="007C489C">
              <w:lastRenderedPageBreak/>
              <w:t>force mod</w:t>
            </w:r>
            <w:r>
              <w:t xml:space="preserve"> skattely</w:t>
            </w:r>
            <w:r w:rsidR="007C489C">
              <w:t xml:space="preserve"> og dels på arbejde i EU og OECD. Fordelene ved en yderligere bearbejdning af lovforslaget i et eksternt udvalg skal holdes op imod ønsket om at gribe betimeligt ind over for skatteunddragelse og misbrug.  </w:t>
            </w:r>
          </w:p>
          <w:p w:rsidR="00807AE9" w:rsidRDefault="00807AE9" w:rsidP="007C489C">
            <w:pPr>
              <w:pStyle w:val="Tabel-BrdtekstmedafstandptekstGaramond"/>
            </w:pPr>
          </w:p>
          <w:p w:rsidR="00084369" w:rsidRDefault="00084369" w:rsidP="007C489C">
            <w:pPr>
              <w:pStyle w:val="Tabel-BrdtekstmedafstandptekstGaramond"/>
            </w:pPr>
          </w:p>
          <w:p w:rsidR="00807AE9" w:rsidRDefault="00807AE9" w:rsidP="007C489C">
            <w:pPr>
              <w:pStyle w:val="Tabel-BrdtekstmedafstandptekstGaramond"/>
            </w:pPr>
          </w:p>
          <w:p w:rsidR="00807AE9" w:rsidRDefault="00CB4BCC" w:rsidP="007C489C">
            <w:pPr>
              <w:pStyle w:val="Tabel-BrdtekstmedafstandptekstGaramond"/>
            </w:pPr>
            <w:r>
              <w:t>Dette kan ikke tiltrædes, da det vil u</w:t>
            </w:r>
            <w:r>
              <w:t>d</w:t>
            </w:r>
            <w:r>
              <w:t>sætte indgrebet mod omgåelse af d</w:t>
            </w:r>
            <w:r>
              <w:t>i</w:t>
            </w:r>
            <w:r>
              <w:t>rektiverne.</w:t>
            </w:r>
          </w:p>
          <w:p w:rsidR="00194A00" w:rsidRDefault="00194A00" w:rsidP="007C489C">
            <w:pPr>
              <w:pStyle w:val="Tabel-BrdtekstmedafstandptekstGaramond"/>
            </w:pPr>
          </w:p>
          <w:p w:rsidR="00194A00" w:rsidRDefault="00194A00" w:rsidP="007C489C">
            <w:pPr>
              <w:pStyle w:val="Tabel-BrdtekstmedafstandptekstGaramond"/>
            </w:pPr>
          </w:p>
          <w:p w:rsidR="00194A00" w:rsidRDefault="00194A00" w:rsidP="007C489C">
            <w:pPr>
              <w:pStyle w:val="Tabel-BrdtekstmedafstandptekstGaramond"/>
            </w:pPr>
          </w:p>
          <w:p w:rsidR="00C05FBA" w:rsidRDefault="00C05FBA" w:rsidP="007C489C">
            <w:pPr>
              <w:pStyle w:val="Tabel-BrdtekstmedafstandptekstGaramond"/>
            </w:pPr>
          </w:p>
          <w:p w:rsidR="00CB4BCC" w:rsidRDefault="00CB4BCC" w:rsidP="007C489C">
            <w:pPr>
              <w:pStyle w:val="Tabel-BrdtekstmedafstandptekstGaramond"/>
            </w:pPr>
          </w:p>
          <w:p w:rsidR="00CB4BCC" w:rsidRDefault="00CB4BCC" w:rsidP="007C489C">
            <w:pPr>
              <w:pStyle w:val="Tabel-BrdtekstmedafstandptekstGaramond"/>
            </w:pPr>
          </w:p>
          <w:p w:rsidR="00CB4BCC" w:rsidRDefault="00CB4BCC" w:rsidP="007C489C">
            <w:pPr>
              <w:pStyle w:val="Tabel-BrdtekstmedafstandptekstGaramond"/>
            </w:pPr>
          </w:p>
          <w:p w:rsidR="00CB4BCC" w:rsidRDefault="00CB4BCC" w:rsidP="007C489C">
            <w:pPr>
              <w:pStyle w:val="Tabel-BrdtekstmedafstandptekstGaramond"/>
            </w:pPr>
          </w:p>
          <w:p w:rsidR="00CB4BCC" w:rsidRDefault="00CB4BCC" w:rsidP="007C489C">
            <w:pPr>
              <w:pStyle w:val="Tabel-BrdtekstmedafstandptekstGaramond"/>
            </w:pPr>
          </w:p>
          <w:p w:rsidR="00CB4BCC" w:rsidRDefault="00CB4BCC" w:rsidP="007C489C">
            <w:pPr>
              <w:pStyle w:val="Tabel-BrdtekstmedafstandptekstGaramond"/>
            </w:pPr>
          </w:p>
          <w:p w:rsidR="00CB4BCC" w:rsidRDefault="00CB4BCC" w:rsidP="007C489C">
            <w:pPr>
              <w:pStyle w:val="Tabel-BrdtekstmedafstandptekstGaramond"/>
            </w:pPr>
          </w:p>
          <w:p w:rsidR="00CB4BCC" w:rsidRDefault="00CB4BCC" w:rsidP="007C489C">
            <w:pPr>
              <w:pStyle w:val="Tabel-BrdtekstmedafstandptekstGaramond"/>
            </w:pPr>
          </w:p>
          <w:p w:rsidR="0062476E" w:rsidRDefault="009A72B8" w:rsidP="007C489C">
            <w:pPr>
              <w:pStyle w:val="Tabel-BrdtekstmedafstandptekstGaramond"/>
            </w:pPr>
            <w:r>
              <w:t>Danmark har ikke en generel omgåe</w:t>
            </w:r>
            <w:r>
              <w:t>l</w:t>
            </w:r>
            <w:r>
              <w:t>sesklausul, der skal sikre mod omgåe</w:t>
            </w:r>
            <w:r>
              <w:t>l</w:t>
            </w:r>
            <w:r>
              <w:t>se af skattereglerne. Dette indføres nu på alle tre direktiver om direkte b</w:t>
            </w:r>
            <w:r>
              <w:t>e</w:t>
            </w:r>
            <w:r>
              <w:t xml:space="preserve">skatning. </w:t>
            </w:r>
            <w:r w:rsidR="000F6BFD">
              <w:t>D</w:t>
            </w:r>
            <w:r>
              <w:t>et, der skal gælde for m</w:t>
            </w:r>
            <w:r>
              <w:t>o</w:t>
            </w:r>
            <w:r>
              <w:t>der-/datterselskabsdirektivet</w:t>
            </w:r>
            <w:r w:rsidR="000F6BFD">
              <w:t>,</w:t>
            </w:r>
            <w:r>
              <w:t xml:space="preserve"> </w:t>
            </w:r>
            <w:r w:rsidR="000F6BFD">
              <w:t>skal</w:t>
            </w:r>
            <w:r>
              <w:t xml:space="preserve"> o</w:t>
            </w:r>
            <w:r>
              <w:t>g</w:t>
            </w:r>
            <w:r w:rsidR="000F6BFD">
              <w:t xml:space="preserve">så </w:t>
            </w:r>
            <w:r>
              <w:t xml:space="preserve">gælde for rente-/royaltydirektivet og for fusionsskattedirektivet. </w:t>
            </w:r>
            <w:r w:rsidR="00B67793">
              <w:t>Det handler i bund og grund om, at det ikke skal være muligt at opnå fordele efter direktiverne, som de skattepligt</w:t>
            </w:r>
            <w:r w:rsidR="00B67793">
              <w:t>i</w:t>
            </w:r>
            <w:r w:rsidR="00B67793">
              <w:t xml:space="preserve">ge ikke er berettiget til. </w:t>
            </w:r>
          </w:p>
          <w:p w:rsidR="00CB4BCC" w:rsidRDefault="00CB4BCC" w:rsidP="007C489C">
            <w:pPr>
              <w:pStyle w:val="Tabel-BrdtekstmedafstandptekstGaramond"/>
            </w:pPr>
          </w:p>
          <w:p w:rsidR="00EE3693" w:rsidRDefault="00EE3693" w:rsidP="00EE3693">
            <w:pPr>
              <w:pStyle w:val="Tabel-BrdtekstmedafstandptekstGaramond"/>
            </w:pPr>
            <w:r w:rsidRPr="000E4B19">
              <w:t>Af begge direktiver fremgår det, at d</w:t>
            </w:r>
            <w:r w:rsidRPr="000E4B19">
              <w:t>i</w:t>
            </w:r>
            <w:r w:rsidRPr="000E4B19">
              <w:t>rektiverne ikke udelukker anvendelsen af nationale eller overenskomstmæ</w:t>
            </w:r>
            <w:r w:rsidRPr="000E4B19">
              <w:t>s</w:t>
            </w:r>
            <w:r w:rsidRPr="000E4B19">
              <w:t>sigt fastsatte bestemmelser til bekæ</w:t>
            </w:r>
            <w:r w:rsidRPr="000E4B19">
              <w:t>m</w:t>
            </w:r>
            <w:r w:rsidRPr="000E4B19">
              <w:t>pelse af svig eller misbrug. Den for</w:t>
            </w:r>
            <w:r w:rsidRPr="000E4B19">
              <w:t>e</w:t>
            </w:r>
            <w:r w:rsidRPr="000E4B19">
              <w:t>slåede omgåelsesregel er i overen</w:t>
            </w:r>
            <w:r w:rsidRPr="000E4B19">
              <w:t>s</w:t>
            </w:r>
            <w:r w:rsidRPr="000E4B19">
              <w:lastRenderedPageBreak/>
              <w:t>stemmelse med EU-retten, og skal sikre mod, at der opnås uberettigede fordele efter direktiverne.</w:t>
            </w:r>
          </w:p>
          <w:p w:rsidR="00EE3693" w:rsidRDefault="000E4B19" w:rsidP="007C489C">
            <w:pPr>
              <w:pStyle w:val="Tabel-BrdtekstmedafstandptekstGaramond"/>
            </w:pPr>
            <w:r>
              <w:t>Det fremgår af Kofoed-dommen (C-321/05), at misbrugsbestemmelsen i fusionsskattedirektivet ikke finder d</w:t>
            </w:r>
            <w:r>
              <w:t>i</w:t>
            </w:r>
            <w:r>
              <w:t>rekte anvendelse</w:t>
            </w:r>
            <w:r w:rsidR="00905905">
              <w:t>. Bestemmelsen skal være implementeret i national lovgi</w:t>
            </w:r>
            <w:r w:rsidR="00905905">
              <w:t>v</w:t>
            </w:r>
            <w:r w:rsidR="00905905">
              <w:t>ning. Med dette lovforslag sker der en implementering af en generel omgåe</w:t>
            </w:r>
            <w:r w:rsidR="00905905">
              <w:t>l</w:t>
            </w:r>
            <w:r w:rsidR="00905905">
              <w:t>sesklausul i forhold til de tre selskab</w:t>
            </w:r>
            <w:r w:rsidR="00905905">
              <w:t>s</w:t>
            </w:r>
            <w:r w:rsidR="00905905">
              <w:t>skattedirektiver, som ikke har eksist</w:t>
            </w:r>
            <w:r w:rsidR="00905905">
              <w:t>e</w:t>
            </w:r>
            <w:r w:rsidR="00905905">
              <w:t>ret tidligere.</w:t>
            </w:r>
          </w:p>
          <w:p w:rsidR="00EE3693" w:rsidRDefault="00EE3693" w:rsidP="007C489C">
            <w:pPr>
              <w:pStyle w:val="Tabel-BrdtekstmedafstandptekstGaramond"/>
            </w:pPr>
          </w:p>
          <w:p w:rsidR="00CB4BCC" w:rsidRDefault="00D01D53" w:rsidP="007C489C">
            <w:pPr>
              <w:pStyle w:val="Tabel-BrdtekstmedafstandptekstGaramond"/>
            </w:pPr>
            <w:r>
              <w:t xml:space="preserve">Der henvises til kommentaren til </w:t>
            </w:r>
            <w:r w:rsidR="00B01E63">
              <w:t>A</w:t>
            </w:r>
            <w:r w:rsidR="00B01E63">
              <w:t>d</w:t>
            </w:r>
            <w:r w:rsidR="00B01E63">
              <w:t>vokatrådet.</w:t>
            </w:r>
          </w:p>
          <w:p w:rsidR="00CB4BCC" w:rsidRDefault="00CB4BCC" w:rsidP="007C489C">
            <w:pPr>
              <w:pStyle w:val="Tabel-BrdtekstmedafstandptekstGaramond"/>
            </w:pPr>
          </w:p>
          <w:p w:rsidR="00D01D53" w:rsidRDefault="00D01D53" w:rsidP="007C489C">
            <w:pPr>
              <w:pStyle w:val="Tabel-BrdtekstmedafstandptekstGaramond"/>
            </w:pPr>
          </w:p>
          <w:p w:rsidR="00D01D53" w:rsidRDefault="00D01D53" w:rsidP="007C489C">
            <w:pPr>
              <w:pStyle w:val="Tabel-BrdtekstmedafstandptekstGaramond"/>
            </w:pPr>
          </w:p>
          <w:p w:rsidR="00D01D53" w:rsidRDefault="00D01D53" w:rsidP="007C489C">
            <w:pPr>
              <w:pStyle w:val="Tabel-BrdtekstmedafstandptekstGaramond"/>
            </w:pPr>
          </w:p>
          <w:p w:rsidR="00D01D53" w:rsidRDefault="00D01D53" w:rsidP="007C489C">
            <w:pPr>
              <w:pStyle w:val="Tabel-BrdtekstmedafstandptekstGaramond"/>
            </w:pPr>
          </w:p>
          <w:p w:rsidR="00B67793" w:rsidRDefault="00B67793" w:rsidP="007C489C">
            <w:pPr>
              <w:pStyle w:val="Tabel-BrdtekstmedafstandptekstGaramond"/>
            </w:pPr>
          </w:p>
          <w:p w:rsidR="00B67793" w:rsidRDefault="00B67793" w:rsidP="007C489C">
            <w:pPr>
              <w:pStyle w:val="Tabel-BrdtekstmedafstandptekstGaramond"/>
            </w:pPr>
          </w:p>
          <w:p w:rsidR="00E13618" w:rsidRDefault="000A304B" w:rsidP="007C489C">
            <w:pPr>
              <w:pStyle w:val="Tabel-BrdtekstmedafstandptekstGaramond"/>
            </w:pPr>
            <w:r>
              <w:t xml:space="preserve">Dette kan ikke tiltrædes. </w:t>
            </w:r>
            <w:r w:rsidR="00C635C9">
              <w:t>Omgåelse</w:t>
            </w:r>
            <w:r w:rsidR="00C635C9">
              <w:t>s</w:t>
            </w:r>
            <w:r w:rsidR="00C635C9">
              <w:t xml:space="preserve">klausulen i relation til direktiverne finder anvendelse på arrangementer eller serier af arrangementer, der er tilrettelagt med det hovedformål, eller der som et af hovedformålene har, at opnå en skattefordel. </w:t>
            </w:r>
            <w:r w:rsidR="00AB16F7">
              <w:t>E</w:t>
            </w:r>
            <w:r>
              <w:t>t arrangement kan omfatte flere trin eller dele. Dette indebærer, at en enkeltstående tran</w:t>
            </w:r>
            <w:r>
              <w:t>s</w:t>
            </w:r>
            <w:r>
              <w:t>aktion, såsom en udbytteudlodning, vil være omfattet af omgåelsesklaus</w:t>
            </w:r>
            <w:r>
              <w:t>u</w:t>
            </w:r>
            <w:r>
              <w:t>len.</w:t>
            </w:r>
            <w:r w:rsidR="00BB4D98">
              <w:t xml:space="preserve"> Hertil skal yderligere bemærkes, at </w:t>
            </w:r>
            <w:proofErr w:type="spellStart"/>
            <w:r w:rsidR="00BB4D98">
              <w:t>beneficial</w:t>
            </w:r>
            <w:proofErr w:type="spellEnd"/>
            <w:r w:rsidR="00BB4D98">
              <w:t xml:space="preserve"> </w:t>
            </w:r>
            <w:proofErr w:type="spellStart"/>
            <w:r w:rsidR="00BB4D98">
              <w:t>owner</w:t>
            </w:r>
            <w:proofErr w:type="spellEnd"/>
            <w:r w:rsidR="00BB4D98">
              <w:t xml:space="preserve"> testen fortsat </w:t>
            </w:r>
            <w:r w:rsidR="008A67EF">
              <w:t>fi</w:t>
            </w:r>
            <w:r w:rsidR="008A67EF">
              <w:t>n</w:t>
            </w:r>
            <w:r w:rsidR="008A67EF">
              <w:t xml:space="preserve">der </w:t>
            </w:r>
            <w:r w:rsidR="00BB4D98">
              <w:t>anvendelse</w:t>
            </w:r>
            <w:r w:rsidR="00B67793">
              <w:t xml:space="preserve">, jf. </w:t>
            </w:r>
            <w:r w:rsidR="004A1D91">
              <w:t>bemærkningerne til lovforslaget.</w:t>
            </w:r>
          </w:p>
          <w:p w:rsidR="00E13618" w:rsidRDefault="00E13618" w:rsidP="007C489C">
            <w:pPr>
              <w:pStyle w:val="Tabel-BrdtekstmedafstandptekstGaramond"/>
            </w:pPr>
          </w:p>
          <w:p w:rsidR="000A304B" w:rsidRDefault="00AB16F7" w:rsidP="007C489C">
            <w:pPr>
              <w:pStyle w:val="Tabel-BrdtekstmedafstandptekstGaramond"/>
            </w:pPr>
            <w:r>
              <w:t>Der henvises til kommentaren</w:t>
            </w:r>
            <w:r w:rsidR="000A304B">
              <w:t xml:space="preserve"> til A</w:t>
            </w:r>
            <w:r w:rsidR="000A304B">
              <w:t>d</w:t>
            </w:r>
            <w:r w:rsidR="000A304B">
              <w:t>vokatrådet.</w:t>
            </w:r>
          </w:p>
          <w:p w:rsidR="000A304B" w:rsidRDefault="000A304B" w:rsidP="007C489C">
            <w:pPr>
              <w:pStyle w:val="Tabel-BrdtekstmedafstandptekstGaramond"/>
            </w:pPr>
          </w:p>
          <w:p w:rsidR="000A304B" w:rsidRDefault="000A304B" w:rsidP="007C489C">
            <w:pPr>
              <w:pStyle w:val="Tabel-BrdtekstmedafstandptekstGaramond"/>
            </w:pPr>
          </w:p>
          <w:p w:rsidR="000A304B" w:rsidRDefault="000A304B" w:rsidP="007C489C">
            <w:pPr>
              <w:pStyle w:val="Tabel-BrdtekstmedafstandptekstGaramond"/>
            </w:pPr>
          </w:p>
          <w:p w:rsidR="000A304B" w:rsidRDefault="000A304B" w:rsidP="007C489C">
            <w:pPr>
              <w:pStyle w:val="Tabel-BrdtekstmedafstandptekstGaramond"/>
            </w:pPr>
          </w:p>
          <w:p w:rsidR="000A304B" w:rsidRDefault="000A304B" w:rsidP="007C489C">
            <w:pPr>
              <w:pStyle w:val="Tabel-BrdtekstmedafstandptekstGaramond"/>
            </w:pPr>
          </w:p>
          <w:p w:rsidR="000A304B" w:rsidRDefault="000A304B" w:rsidP="007C489C">
            <w:pPr>
              <w:pStyle w:val="Tabel-BrdtekstmedafstandptekstGaramond"/>
            </w:pPr>
          </w:p>
          <w:p w:rsidR="000A304B" w:rsidRDefault="000A304B" w:rsidP="007C489C">
            <w:pPr>
              <w:pStyle w:val="Tabel-BrdtekstmedafstandptekstGaramond"/>
            </w:pPr>
          </w:p>
          <w:p w:rsidR="000A304B" w:rsidRDefault="000A304B" w:rsidP="007C489C">
            <w:pPr>
              <w:pStyle w:val="Tabel-BrdtekstmedafstandptekstGaramond"/>
            </w:pPr>
          </w:p>
          <w:p w:rsidR="000A304B" w:rsidRDefault="000A304B" w:rsidP="007C489C">
            <w:pPr>
              <w:pStyle w:val="Tabel-BrdtekstmedafstandptekstGaramond"/>
            </w:pPr>
          </w:p>
          <w:p w:rsidR="000A304B" w:rsidRDefault="001B2E16" w:rsidP="007C489C">
            <w:pPr>
              <w:pStyle w:val="Tabel-BrdtekstmedafstandptekstGaramond"/>
            </w:pPr>
            <w:r>
              <w:t>S</w:t>
            </w:r>
            <w:r w:rsidR="00617D12">
              <w:t>katteministeriet</w:t>
            </w:r>
            <w:r>
              <w:t xml:space="preserve"> forventer ikke, at der kommer ændringer i</w:t>
            </w:r>
            <w:r w:rsidR="00617D12">
              <w:t xml:space="preserve"> teksten </w:t>
            </w:r>
            <w:r>
              <w:t>til</w:t>
            </w:r>
            <w:r w:rsidR="00617D12">
              <w:t xml:space="preserve"> mi</w:t>
            </w:r>
            <w:r w:rsidR="00617D12">
              <w:t>s</w:t>
            </w:r>
            <w:r w:rsidR="00617D12">
              <w:t xml:space="preserve">brugsbestemmelsen </w:t>
            </w:r>
            <w:r>
              <w:t>vedrørende</w:t>
            </w:r>
            <w:r w:rsidR="00523D8E">
              <w:t xml:space="preserve"> do</w:t>
            </w:r>
            <w:r w:rsidR="00523D8E">
              <w:t>b</w:t>
            </w:r>
            <w:r w:rsidR="00523D8E">
              <w:t>beltbeskat</w:t>
            </w:r>
            <w:r>
              <w:t>ningsoverenskomsten</w:t>
            </w:r>
            <w:r w:rsidR="00523D8E">
              <w:t>. Der henvises</w:t>
            </w:r>
            <w:r>
              <w:t xml:space="preserve"> i øvrigt</w:t>
            </w:r>
            <w:r w:rsidR="00523D8E">
              <w:t xml:space="preserve"> til kommentaren til FSR.</w:t>
            </w:r>
          </w:p>
          <w:p w:rsidR="001B2E16" w:rsidRDefault="001B2E16" w:rsidP="007C489C">
            <w:pPr>
              <w:pStyle w:val="Tabel-BrdtekstmedafstandptekstGaramond"/>
            </w:pPr>
          </w:p>
          <w:p w:rsidR="000A304B" w:rsidRDefault="00BB4D98" w:rsidP="007C489C">
            <w:pPr>
              <w:pStyle w:val="Tabel-BrdtekstmedafstandptekstGaramond"/>
            </w:pPr>
            <w:r>
              <w:t xml:space="preserve">Det </w:t>
            </w:r>
            <w:r w:rsidR="00B67793">
              <w:t>bemærkes, at omgåelsesklausulen er i overensstemmelse med overen</w:t>
            </w:r>
            <w:r w:rsidR="00B67793">
              <w:t>s</w:t>
            </w:r>
            <w:r w:rsidR="00B67793">
              <w:t>komsterne, jf. kommentaren til A</w:t>
            </w:r>
            <w:r w:rsidR="00B67793">
              <w:t>d</w:t>
            </w:r>
            <w:r w:rsidR="00B67793">
              <w:t xml:space="preserve">vokatrådet. Det </w:t>
            </w:r>
            <w:r>
              <w:t>vil ikke være rettidig indgriben over for misbrug, hvis man skal afvente genforhandling af alle danske dobbeltbeskatningsoveren</w:t>
            </w:r>
            <w:r>
              <w:t>s</w:t>
            </w:r>
            <w:r>
              <w:t xml:space="preserve">komster. </w:t>
            </w:r>
          </w:p>
          <w:p w:rsidR="00AB16F7" w:rsidRDefault="00AB16F7" w:rsidP="007C489C">
            <w:pPr>
              <w:pStyle w:val="Tabel-BrdtekstmedafstandptekstGaramond"/>
            </w:pPr>
          </w:p>
          <w:p w:rsidR="00AB16F7" w:rsidRDefault="00AB16F7" w:rsidP="007C489C">
            <w:pPr>
              <w:pStyle w:val="Tabel-BrdtekstmedafstandptekstGaramond"/>
            </w:pPr>
          </w:p>
          <w:p w:rsidR="00807AE9" w:rsidRDefault="00807AE9" w:rsidP="007C489C">
            <w:pPr>
              <w:pStyle w:val="Tabel-BrdtekstmedafstandptekstGaramond"/>
            </w:pPr>
            <w:r>
              <w:t>Lovforslaget er alene en ”supplere</w:t>
            </w:r>
            <w:r>
              <w:t>n</w:t>
            </w:r>
            <w:r>
              <w:t xml:space="preserve">de” beskatning af stifteren i lighed med CFC-beskatning af </w:t>
            </w:r>
            <w:r w:rsidR="00DC63A6">
              <w:t>personer</w:t>
            </w:r>
            <w:r>
              <w:t xml:space="preserve"> i </w:t>
            </w:r>
            <w:r w:rsidR="00DC63A6">
              <w:t xml:space="preserve">ligningslovens </w:t>
            </w:r>
            <w:r>
              <w:t xml:space="preserve">§ </w:t>
            </w:r>
            <w:r w:rsidR="00DC63A6">
              <w:t>16 H</w:t>
            </w:r>
            <w:r>
              <w:t>. Lovforslaget ændrer ikke på de gældende regler om beskatning af fx trusten og de begu</w:t>
            </w:r>
            <w:r>
              <w:t>n</w:t>
            </w:r>
            <w:r>
              <w:t xml:space="preserve">stigede.  </w:t>
            </w:r>
          </w:p>
          <w:p w:rsidR="00807AE9" w:rsidRDefault="00807AE9" w:rsidP="007C489C">
            <w:pPr>
              <w:pStyle w:val="Tabel-BrdtekstmedafstandptekstGaramond"/>
            </w:pPr>
          </w:p>
          <w:p w:rsidR="00807AE9" w:rsidRDefault="00807AE9" w:rsidP="007C489C">
            <w:pPr>
              <w:pStyle w:val="Tabel-BrdtekstmedafstandptekstGaramond"/>
            </w:pPr>
            <w:r>
              <w:t>Dette kan ikke tiltrædes, idet det vil udsætte indgrebet mod skatteunddr</w:t>
            </w:r>
            <w:r>
              <w:t>a</w:t>
            </w:r>
            <w:r>
              <w:t>gelse og aggressiv skatteplanlægning</w:t>
            </w:r>
            <w:r w:rsidR="00904BAF">
              <w:t xml:space="preserve"> ved hjælp af trusts mv</w:t>
            </w:r>
            <w:r>
              <w:t>.</w:t>
            </w:r>
          </w:p>
          <w:p w:rsidR="00807AE9" w:rsidRDefault="00807AE9" w:rsidP="007C489C">
            <w:pPr>
              <w:pStyle w:val="Tabel-BrdtekstmedafstandptekstGaramond"/>
            </w:pPr>
          </w:p>
          <w:p w:rsidR="00904BAF" w:rsidRDefault="00904BAF" w:rsidP="00904BAF">
            <w:pPr>
              <w:pStyle w:val="Tabel-BrdtekstmedafstandptekstGaramond"/>
            </w:pPr>
            <w:r>
              <w:t>Det er også hensigten med lovforsl</w:t>
            </w:r>
            <w:r>
              <w:t>a</w:t>
            </w:r>
            <w:r>
              <w:t>get, at der skal gribes ind over for s</w:t>
            </w:r>
            <w:r>
              <w:t>i</w:t>
            </w:r>
            <w:r>
              <w:t>tuationer, hvor stifteren inden en ti</w:t>
            </w:r>
            <w:r>
              <w:t>l</w:t>
            </w:r>
            <w:r>
              <w:t>bageflytning til Danmark har stiftet en trust, hvor der reelt ikke er sket end</w:t>
            </w:r>
            <w:r>
              <w:t>e</w:t>
            </w:r>
            <w:r>
              <w:t>ligt og uigenkaldeligt afkald på form</w:t>
            </w:r>
            <w:r>
              <w:t>u</w:t>
            </w:r>
            <w:r>
              <w:t>en.</w:t>
            </w:r>
          </w:p>
          <w:p w:rsidR="009922E3" w:rsidRDefault="009922E3" w:rsidP="00365201">
            <w:pPr>
              <w:pStyle w:val="Tabel-BrdtekstmedafstandptekstGaramond"/>
              <w:ind w:left="0"/>
            </w:pPr>
          </w:p>
          <w:p w:rsidR="00807AE9" w:rsidRDefault="00904BAF" w:rsidP="00C219C4">
            <w:pPr>
              <w:pStyle w:val="Tabel-BrdtekstmedafstandptekstGaramond"/>
            </w:pPr>
            <w:r>
              <w:lastRenderedPageBreak/>
              <w:t xml:space="preserve">Dette svarer til principper fra CFC-beskatningen i </w:t>
            </w:r>
            <w:r w:rsidR="00DC63A6">
              <w:t>lignings</w:t>
            </w:r>
            <w:r>
              <w:t xml:space="preserve">lovens § </w:t>
            </w:r>
            <w:r w:rsidR="00DC63A6">
              <w:t>16 H</w:t>
            </w:r>
            <w:r>
              <w:t>. Hvis der er tab i trusten, kan disse fremføres til modregning i positiv indkomst i fremtidige indkomstår.</w:t>
            </w:r>
          </w:p>
          <w:p w:rsidR="00C219C4" w:rsidRDefault="00C219C4" w:rsidP="00C219C4">
            <w:pPr>
              <w:pStyle w:val="Tabel-BrdtekstmedafstandptekstGaramond"/>
            </w:pPr>
          </w:p>
          <w:p w:rsidR="00C219C4" w:rsidRDefault="00C219C4" w:rsidP="00C219C4">
            <w:pPr>
              <w:pStyle w:val="Tabel-BrdtekstmedafstandptekstGaramond"/>
            </w:pPr>
            <w:r>
              <w:t>Det er præciseret, at indkomsten skal fordeles på alle stiftere og indskydere, uanset om disse er omfattet af b</w:t>
            </w:r>
            <w:r>
              <w:t>e</w:t>
            </w:r>
            <w:r>
              <w:t>stemmelsen.</w:t>
            </w:r>
          </w:p>
          <w:p w:rsidR="009F3560" w:rsidRDefault="009F3560" w:rsidP="00C219C4">
            <w:pPr>
              <w:pStyle w:val="Tabel-BrdtekstmedafstandptekstGaramond"/>
            </w:pPr>
          </w:p>
          <w:p w:rsidR="009F3560" w:rsidRDefault="009F3560" w:rsidP="00C219C4">
            <w:pPr>
              <w:pStyle w:val="Tabel-BrdtekstmedafstandptekstGaramond"/>
            </w:pPr>
          </w:p>
          <w:p w:rsidR="009F3560" w:rsidRDefault="009F3560" w:rsidP="00C219C4">
            <w:pPr>
              <w:pStyle w:val="Tabel-BrdtekstmedafstandptekstGaramond"/>
            </w:pPr>
            <w:r>
              <w:t>Lovforslaget ændrer – som nævnt ovenfor – ikke på den gældende b</w:t>
            </w:r>
            <w:r>
              <w:t>e</w:t>
            </w:r>
            <w:r>
              <w:t>skatning. Hvis en fuldt skattepligtig inden tilflytningen har stiftet en trust, hvor aktiverne ikke er endeligt og uigenkaldeligt udskilt, vil stifteren fortsat blive anset for at have rådi</w:t>
            </w:r>
            <w:r>
              <w:t>g</w:t>
            </w:r>
            <w:r>
              <w:t>hed over formuen og blive beskattet af afkastet.</w:t>
            </w:r>
          </w:p>
          <w:p w:rsidR="009F3560" w:rsidRDefault="009F3560" w:rsidP="00C219C4">
            <w:pPr>
              <w:pStyle w:val="Tabel-BrdtekstmedafstandptekstGaramond"/>
            </w:pPr>
          </w:p>
          <w:p w:rsidR="00576E30" w:rsidRDefault="00365201" w:rsidP="00C219C4">
            <w:pPr>
              <w:pStyle w:val="Tabel-BrdtekstmedafstandptekstGaramond"/>
            </w:pPr>
            <w:r>
              <w:t>Der henvises til kommentaren til FSR.</w:t>
            </w:r>
          </w:p>
          <w:p w:rsidR="00365201" w:rsidRDefault="00365201" w:rsidP="00C219C4">
            <w:pPr>
              <w:pStyle w:val="Tabel-BrdtekstmedafstandptekstGaramond"/>
            </w:pPr>
          </w:p>
          <w:p w:rsidR="00365201" w:rsidRDefault="00365201" w:rsidP="00C219C4">
            <w:pPr>
              <w:pStyle w:val="Tabel-BrdtekstmedafstandptekstGaramond"/>
            </w:pPr>
          </w:p>
          <w:p w:rsidR="00365201" w:rsidRDefault="00365201" w:rsidP="00C219C4">
            <w:pPr>
              <w:pStyle w:val="Tabel-BrdtekstmedafstandptekstGaramond"/>
            </w:pPr>
          </w:p>
          <w:p w:rsidR="00365201" w:rsidRDefault="00365201" w:rsidP="00C219C4">
            <w:pPr>
              <w:pStyle w:val="Tabel-BrdtekstmedafstandptekstGaramond"/>
            </w:pPr>
          </w:p>
          <w:p w:rsidR="00365201" w:rsidRDefault="00365201" w:rsidP="00C219C4">
            <w:pPr>
              <w:pStyle w:val="Tabel-BrdtekstmedafstandptekstGaramond"/>
            </w:pPr>
          </w:p>
          <w:p w:rsidR="00576E30" w:rsidRDefault="00D923E2" w:rsidP="00C219C4">
            <w:pPr>
              <w:pStyle w:val="Tabel-BrdtekstmedafstandptekstGaramond"/>
            </w:pPr>
            <w:r>
              <w:t>Der henvises til kommentaren til FSR.</w:t>
            </w:r>
          </w:p>
          <w:p w:rsidR="00D923E2" w:rsidRDefault="00D923E2" w:rsidP="00C219C4">
            <w:pPr>
              <w:pStyle w:val="Tabel-BrdtekstmedafstandptekstGaramond"/>
            </w:pPr>
          </w:p>
          <w:p w:rsidR="00D923E2" w:rsidRDefault="00D923E2" w:rsidP="00C219C4">
            <w:pPr>
              <w:pStyle w:val="Tabel-BrdtekstmedafstandptekstGaramond"/>
            </w:pPr>
          </w:p>
          <w:p w:rsidR="00D923E2" w:rsidRDefault="00D923E2" w:rsidP="00C219C4">
            <w:pPr>
              <w:pStyle w:val="Tabel-BrdtekstmedafstandptekstGaramond"/>
            </w:pPr>
          </w:p>
          <w:p w:rsidR="00C05FBA" w:rsidRDefault="00C05FBA" w:rsidP="00C219C4">
            <w:pPr>
              <w:pStyle w:val="Tabel-BrdtekstmedafstandptekstGaramond"/>
            </w:pPr>
          </w:p>
          <w:p w:rsidR="00C05FBA" w:rsidRPr="00C05FBA" w:rsidRDefault="00C05FBA" w:rsidP="00C05FBA">
            <w:pPr>
              <w:pStyle w:val="Tabel-BrdtekstmedafstandptekstGaramond"/>
            </w:pPr>
            <w:r w:rsidRPr="00C05FBA">
              <w:t>Det er opfattelsen, at det bør fremgå direkte af lovteksten, at den maksim</w:t>
            </w:r>
            <w:r w:rsidRPr="00C05FBA">
              <w:t>a</w:t>
            </w:r>
            <w:r w:rsidRPr="00C05FBA">
              <w:t xml:space="preserve">le bindingsperiode er 6 måneder for bindende svar om et aktivs værdi, når dette er realiteten i praksis. </w:t>
            </w:r>
          </w:p>
          <w:p w:rsidR="00C05FBA" w:rsidRDefault="00C05FBA" w:rsidP="00C219C4">
            <w:pPr>
              <w:pStyle w:val="Tabel-BrdtekstmedafstandptekstGaramond"/>
            </w:pPr>
          </w:p>
          <w:p w:rsidR="00C05FBA" w:rsidRPr="00C05FBA" w:rsidRDefault="00C05FBA" w:rsidP="00C05FBA">
            <w:pPr>
              <w:pStyle w:val="Tabel-BrdtekstmedafstandptekstGaramond"/>
            </w:pPr>
            <w:r w:rsidRPr="00C05FBA">
              <w:t xml:space="preserve">Det er korrekt forstået inden for rammerne af skatteforvaltningslovens regelsæt om bindende svar. </w:t>
            </w:r>
          </w:p>
          <w:p w:rsidR="00C05FBA" w:rsidRDefault="00C05FBA" w:rsidP="00C219C4">
            <w:pPr>
              <w:pStyle w:val="Tabel-BrdtekstmedafstandptekstGaramond"/>
            </w:pPr>
          </w:p>
          <w:p w:rsidR="00C05FBA" w:rsidRDefault="00C05FBA" w:rsidP="00C219C4">
            <w:pPr>
              <w:pStyle w:val="Tabel-BrdtekstmedafstandptekstGaramond"/>
            </w:pPr>
          </w:p>
          <w:p w:rsidR="00C05FBA" w:rsidRDefault="00C05FBA" w:rsidP="00C219C4">
            <w:pPr>
              <w:pStyle w:val="Tabel-BrdtekstmedafstandptekstGaramond"/>
            </w:pPr>
          </w:p>
          <w:p w:rsidR="00C05FBA" w:rsidRDefault="00C05FBA" w:rsidP="00C219C4">
            <w:pPr>
              <w:pStyle w:val="Tabel-BrdtekstmedafstandptekstGaramond"/>
            </w:pPr>
          </w:p>
          <w:p w:rsidR="00C05FBA" w:rsidRDefault="00C05FBA" w:rsidP="00C219C4">
            <w:pPr>
              <w:pStyle w:val="Tabel-BrdtekstmedafstandptekstGaramond"/>
            </w:pPr>
          </w:p>
          <w:p w:rsidR="00C05FBA" w:rsidRPr="00C05FBA" w:rsidRDefault="00C05FBA" w:rsidP="00C05FBA">
            <w:pPr>
              <w:pStyle w:val="Tabel-BrdtekstmedafstandptekstGaramond"/>
            </w:pPr>
            <w:r w:rsidRPr="00C05FBA">
              <w:t>Er der ikke disponeret inden for 6 måneder, er SKAT ikke bundet af det bindende svar. Selv om spørger ikke har nået at disponere inden de 6 m</w:t>
            </w:r>
            <w:r w:rsidRPr="00C05FBA">
              <w:t>å</w:t>
            </w:r>
            <w:r w:rsidRPr="00C05FBA">
              <w:t>neder, er dette dog ikke ensbetyde</w:t>
            </w:r>
            <w:r w:rsidRPr="00C05FBA">
              <w:t>n</w:t>
            </w:r>
            <w:r w:rsidRPr="00C05FBA">
              <w:t>de, at den værdi, der er indeholdt i det bindende svar, ikke stadig er den ri</w:t>
            </w:r>
            <w:r w:rsidRPr="00C05FBA">
              <w:t>g</w:t>
            </w:r>
            <w:r w:rsidRPr="00C05FBA">
              <w:t>tige værdi – det kan den sagtens være. Forskellen er, at værdien vil kunne blive bedømt i forbindelsen med li</w:t>
            </w:r>
            <w:r w:rsidRPr="00C05FBA">
              <w:t>g</w:t>
            </w:r>
            <w:r w:rsidRPr="00C05FBA">
              <w:t xml:space="preserve">ningen. </w:t>
            </w:r>
          </w:p>
          <w:p w:rsidR="00C05FBA" w:rsidRDefault="00C05FBA" w:rsidP="00C219C4">
            <w:pPr>
              <w:pStyle w:val="Tabel-BrdtekstmedafstandptekstGaramond"/>
            </w:pPr>
          </w:p>
          <w:p w:rsidR="00C05FBA" w:rsidRDefault="00C05FBA" w:rsidP="00C05FBA">
            <w:pPr>
              <w:pStyle w:val="Tabel-BrdtekstmedafstandptekstGaramond"/>
            </w:pPr>
            <w:r w:rsidRPr="00C05FBA">
              <w:t>Reglen om bindingsperiode betyder, at SKAT alene er bundet af det bi</w:t>
            </w:r>
            <w:r w:rsidRPr="00C05FBA">
              <w:t>n</w:t>
            </w:r>
            <w:r w:rsidRPr="00C05FBA">
              <w:t>dende svar, for så vidt angår dispos</w:t>
            </w:r>
            <w:r w:rsidRPr="00C05FBA">
              <w:t>i</w:t>
            </w:r>
            <w:r w:rsidRPr="00C05FBA">
              <w:t>tioner, hvor det bindende svar er a</w:t>
            </w:r>
            <w:r w:rsidRPr="00C05FBA">
              <w:t>n</w:t>
            </w:r>
            <w:r w:rsidRPr="00C05FBA">
              <w:t>vendt, hvis dispositionen foretages inden udløbet af bindingsperioden. Er det bindende svar ikke anvendt inden bindingsperiodens udløb, er det bi</w:t>
            </w:r>
            <w:r w:rsidRPr="00C05FBA">
              <w:t>n</w:t>
            </w:r>
            <w:r w:rsidRPr="00C05FBA">
              <w:t>dende svar selv at betragte som udl</w:t>
            </w:r>
            <w:r w:rsidRPr="00C05FBA">
              <w:t>ø</w:t>
            </w:r>
            <w:r w:rsidRPr="00C05FBA">
              <w:t>bet. Hvor der er disponeret på grun</w:t>
            </w:r>
            <w:r w:rsidRPr="00C05FBA">
              <w:t>d</w:t>
            </w:r>
            <w:r w:rsidRPr="00C05FBA">
              <w:t>lag af det bindende svar inden udløbet af bindingsperioden, men hvor det bindende svar efter reglerne i skatt</w:t>
            </w:r>
            <w:r w:rsidRPr="00C05FBA">
              <w:t>e</w:t>
            </w:r>
            <w:r w:rsidRPr="00C05FBA">
              <w:t>forvaltningsloven ikke længere anses for bindende for SKAT, vil der alene kunne blive tale om en ændring af den skatteansættelse, hvor dispositi</w:t>
            </w:r>
            <w:r w:rsidRPr="00C05FBA">
              <w:t>o</w:t>
            </w:r>
            <w:r w:rsidRPr="00C05FBA">
              <w:t xml:space="preserve">nen indgår, hvis dette kan ske efter reglerne i skatteforvaltningslovens § 26 eller § 27. </w:t>
            </w:r>
            <w:r w:rsidR="00337E3C">
              <w:t>Hvor en f</w:t>
            </w:r>
            <w:r w:rsidR="006940AA">
              <w:t>ysisk person</w:t>
            </w:r>
            <w:r w:rsidR="00337E3C">
              <w:t xml:space="preserve"> ikke måtte ønske at besvare en for</w:t>
            </w:r>
            <w:r w:rsidR="00337E3C">
              <w:t>e</w:t>
            </w:r>
            <w:r w:rsidR="00337E3C">
              <w:t>spørgsel fra SKAT, vil SKAT have mulighed for at indhente oplysninger fra myndighederne i det land, som personen er flyttet til, hv</w:t>
            </w:r>
            <w:r w:rsidR="006940AA">
              <w:t>is</w:t>
            </w:r>
            <w:r w:rsidR="00337E3C">
              <w:t xml:space="preserve"> der mellem Danmark og det land er indgået en a</w:t>
            </w:r>
            <w:r w:rsidR="00337E3C">
              <w:t>f</w:t>
            </w:r>
            <w:r w:rsidR="00337E3C">
              <w:t>tale om udveksling af skatteoplysni</w:t>
            </w:r>
            <w:r w:rsidR="00337E3C">
              <w:t>n</w:t>
            </w:r>
            <w:r w:rsidR="00337E3C">
              <w:lastRenderedPageBreak/>
              <w:t xml:space="preserve">ger. </w:t>
            </w:r>
          </w:p>
          <w:p w:rsidR="00337E3C" w:rsidRPr="00C05FBA" w:rsidRDefault="00337E3C" w:rsidP="00C05FBA">
            <w:pPr>
              <w:pStyle w:val="Tabel-BrdtekstmedafstandptekstGaramond"/>
            </w:pPr>
          </w:p>
          <w:p w:rsidR="00C05FBA" w:rsidRPr="00C05FBA" w:rsidRDefault="00C05FBA" w:rsidP="00C05FBA">
            <w:pPr>
              <w:pStyle w:val="Tabel-BrdtekstmedafstandptekstGaramond"/>
            </w:pPr>
            <w:r w:rsidRPr="00C05FBA">
              <w:t>Dette er også fortsat udgangspunktet. Den foreslåede regel finder alene a</w:t>
            </w:r>
            <w:r w:rsidRPr="00C05FBA">
              <w:t>n</w:t>
            </w:r>
            <w:r w:rsidRPr="00C05FBA">
              <w:t>vendelse, i det omfang SKAT ikke har indsat afgørende forudsætninger i det bindende svar, der dækker situati</w:t>
            </w:r>
            <w:r w:rsidRPr="00C05FBA">
              <w:t>o</w:t>
            </w:r>
            <w:r w:rsidRPr="00C05FBA">
              <w:t>nen. Sigtet med den foreslåede regel er, at den alene skal anvendes, hvor der konkret vurderes at være et behov herfor.</w:t>
            </w:r>
          </w:p>
          <w:p w:rsidR="00C05FBA" w:rsidRDefault="00C05FBA" w:rsidP="00C219C4">
            <w:pPr>
              <w:pStyle w:val="Tabel-BrdtekstmedafstandptekstGaramond"/>
            </w:pPr>
          </w:p>
          <w:p w:rsidR="00C05FBA" w:rsidRDefault="00C05FBA" w:rsidP="00C219C4">
            <w:pPr>
              <w:pStyle w:val="Tabel-BrdtekstmedafstandptekstGaramond"/>
            </w:pPr>
          </w:p>
          <w:p w:rsidR="00C05FBA" w:rsidRDefault="00C05FBA" w:rsidP="00C219C4">
            <w:pPr>
              <w:pStyle w:val="Tabel-BrdtekstmedafstandptekstGaramond"/>
            </w:pPr>
          </w:p>
          <w:p w:rsidR="00C05FBA" w:rsidRDefault="00C05FBA" w:rsidP="00C219C4">
            <w:pPr>
              <w:pStyle w:val="Tabel-BrdtekstmedafstandptekstGaramond"/>
            </w:pPr>
          </w:p>
          <w:p w:rsidR="00C05FBA" w:rsidRDefault="00C05FBA" w:rsidP="00C219C4">
            <w:pPr>
              <w:pStyle w:val="Tabel-BrdtekstmedafstandptekstGaramond"/>
            </w:pPr>
          </w:p>
          <w:p w:rsidR="00C05FBA" w:rsidRPr="00C05FBA" w:rsidRDefault="00C05FBA" w:rsidP="00C05FBA">
            <w:pPr>
              <w:pStyle w:val="Tabel-BrdtekstmedafstandptekstGaramond"/>
            </w:pPr>
            <w:r w:rsidRPr="00C05FBA">
              <w:t>Det fremgår af den foreslåede regel, at det skal sandsynliggøres (begru</w:t>
            </w:r>
            <w:r w:rsidRPr="00C05FBA">
              <w:t>n</w:t>
            </w:r>
            <w:r w:rsidRPr="00C05FBA">
              <w:t>des), at den ”nye” værdi også var den korrekte værdi på det tidspunkt, hvor det bindende svar blev afgivet. Heri ligger, at en overskridelse af beløb</w:t>
            </w:r>
            <w:r w:rsidRPr="00C05FBA">
              <w:t>s</w:t>
            </w:r>
            <w:r w:rsidRPr="00C05FBA">
              <w:t xml:space="preserve">grænsen ikke automatisk medfører et bortfald af det bindende svar. </w:t>
            </w:r>
          </w:p>
          <w:p w:rsidR="00C05FBA" w:rsidRDefault="00C05FBA" w:rsidP="00C219C4">
            <w:pPr>
              <w:pStyle w:val="Tabel-BrdtekstmedafstandptekstGaramond"/>
            </w:pPr>
          </w:p>
          <w:p w:rsidR="00C05FBA" w:rsidRPr="00C05FBA" w:rsidRDefault="00C05FBA" w:rsidP="00C05FBA">
            <w:pPr>
              <w:pStyle w:val="Tabel-BrdtekstmedafstandptekstGaramond"/>
            </w:pPr>
            <w:r w:rsidRPr="00C05FBA">
              <w:t xml:space="preserve">Der henvises til kommentaren til Landbrug &amp; Fødevarer.      </w:t>
            </w:r>
          </w:p>
          <w:p w:rsidR="00C05FBA" w:rsidRDefault="00C05FBA" w:rsidP="00C219C4">
            <w:pPr>
              <w:pStyle w:val="Tabel-BrdtekstmedafstandptekstGaramond"/>
            </w:pPr>
          </w:p>
          <w:p w:rsidR="00C05FBA" w:rsidRDefault="00C05FBA" w:rsidP="00C219C4">
            <w:pPr>
              <w:pStyle w:val="Tabel-BrdtekstmedafstandptekstGaramond"/>
            </w:pPr>
          </w:p>
          <w:p w:rsidR="00C05FBA" w:rsidRPr="00C05FBA" w:rsidRDefault="00C05FBA" w:rsidP="00C05FBA">
            <w:pPr>
              <w:pStyle w:val="Tabel-BrdtekstmedafstandptekstGaramond"/>
            </w:pPr>
            <w:r w:rsidRPr="00C05FBA">
              <w:t>Reglen vil fx kunne finde anvendelse, i en situation hvor aktivets værdi i det bindende svar er fastsat til 10 mio. kr.</w:t>
            </w:r>
            <w:r w:rsidR="006940AA">
              <w:t>,</w:t>
            </w:r>
            <w:r w:rsidRPr="00C05FBA">
              <w:t xml:space="preserve"> og hvor aktivet sælges 8 måneder e</w:t>
            </w:r>
            <w:r w:rsidRPr="00C05FBA">
              <w:t>f</w:t>
            </w:r>
            <w:r w:rsidRPr="00C05FBA">
              <w:t>ter til en uafhængig tredjemand for et beløb på 15 mio. kr., forudsat at det på basis af salget kan underbygges, at aktivets værdi på tidspunktet for afg</w:t>
            </w:r>
            <w:r w:rsidRPr="00C05FBA">
              <w:t>i</w:t>
            </w:r>
            <w:r w:rsidRPr="00C05FBA">
              <w:t>velsen af det bindende svar ikke var 10 mio. kr.</w:t>
            </w:r>
            <w:r w:rsidR="006940AA">
              <w:t>,</w:t>
            </w:r>
            <w:r w:rsidRPr="00C05FBA">
              <w:t xml:space="preserve"> men derimod mindst 13 mio. kr.    </w:t>
            </w:r>
          </w:p>
          <w:p w:rsidR="00C05FBA" w:rsidRDefault="00C05FBA" w:rsidP="00C219C4">
            <w:pPr>
              <w:pStyle w:val="Tabel-BrdtekstmedafstandptekstGaramond"/>
            </w:pPr>
          </w:p>
          <w:p w:rsidR="00C05FBA" w:rsidRPr="00C05FBA" w:rsidRDefault="00C05FBA" w:rsidP="00C05FBA">
            <w:pPr>
              <w:pStyle w:val="Tabel-BrdtekstmedafstandptekstGaramond"/>
            </w:pPr>
            <w:r w:rsidRPr="00C05FBA">
              <w:t>Det er opfattelse</w:t>
            </w:r>
            <w:r w:rsidR="000A1518">
              <w:t>n</w:t>
            </w:r>
            <w:r w:rsidRPr="00C05FBA">
              <w:t xml:space="preserve">, at det vil være </w:t>
            </w:r>
            <w:r w:rsidR="006940AA">
              <w:t>unødigt restriktivt at stille et</w:t>
            </w:r>
            <w:r w:rsidRPr="00C05FBA">
              <w:t xml:space="preserve"> sådant krav. </w:t>
            </w:r>
          </w:p>
          <w:p w:rsidR="00C05FBA" w:rsidRDefault="00C05FBA" w:rsidP="00C219C4">
            <w:pPr>
              <w:pStyle w:val="Tabel-BrdtekstmedafstandptekstGaramond"/>
            </w:pPr>
          </w:p>
          <w:p w:rsidR="00C05FBA" w:rsidRDefault="00C05FBA" w:rsidP="00C219C4">
            <w:pPr>
              <w:pStyle w:val="Tabel-BrdtekstmedafstandptekstGaramond"/>
            </w:pPr>
          </w:p>
          <w:p w:rsidR="00C05FBA" w:rsidRDefault="00C05FBA" w:rsidP="00C219C4">
            <w:pPr>
              <w:pStyle w:val="Tabel-BrdtekstmedafstandptekstGaramond"/>
            </w:pPr>
          </w:p>
          <w:p w:rsidR="00C05FBA" w:rsidRPr="00C05FBA" w:rsidRDefault="004A1D91" w:rsidP="00C05FBA">
            <w:pPr>
              <w:pStyle w:val="Tabel-BrdtekstmedafstandptekstGaramond"/>
            </w:pPr>
            <w:r>
              <w:t xml:space="preserve">Ja, </w:t>
            </w:r>
            <w:r w:rsidR="00C05FBA" w:rsidRPr="00C05FBA">
              <w:t>SKAT vil kunne annullere et bi</w:t>
            </w:r>
            <w:r w:rsidR="00C05FBA" w:rsidRPr="00C05FBA">
              <w:t>n</w:t>
            </w:r>
            <w:r w:rsidR="00C05FBA" w:rsidRPr="00C05FBA">
              <w:t>den</w:t>
            </w:r>
            <w:r w:rsidR="006940AA">
              <w:t>de svar ud fra</w:t>
            </w:r>
            <w:r w:rsidR="00C05FBA" w:rsidRPr="00C05FBA">
              <w:t xml:space="preserve"> bestemmelser</w:t>
            </w:r>
            <w:r w:rsidR="006940AA">
              <w:t>ne</w:t>
            </w:r>
            <w:r w:rsidR="00C05FBA" w:rsidRPr="00C05FBA">
              <w:t xml:space="preserve"> i skatteforvaltningslovens § 25.</w:t>
            </w:r>
          </w:p>
          <w:p w:rsidR="00C05FBA" w:rsidRDefault="00C05FBA" w:rsidP="00C219C4">
            <w:pPr>
              <w:pStyle w:val="Tabel-BrdtekstmedafstandptekstGaramond"/>
            </w:pPr>
          </w:p>
        </w:tc>
      </w:tr>
      <w:tr w:rsidR="00BD6F46" w:rsidRPr="00B5346F" w:rsidTr="005004E8">
        <w:tc>
          <w:tcPr>
            <w:tcW w:w="2093" w:type="dxa"/>
            <w:tcBorders>
              <w:top w:val="single" w:sz="4" w:space="0" w:color="D1C5C3" w:themeColor="accent3"/>
              <w:bottom w:val="single" w:sz="4" w:space="0" w:color="D1C5C3" w:themeColor="accent3"/>
            </w:tcBorders>
            <w:shd w:val="clear" w:color="auto" w:fill="FBF9F9"/>
          </w:tcPr>
          <w:p w:rsidR="00BD6F46" w:rsidRDefault="00BD6F46" w:rsidP="001A1477">
            <w:pPr>
              <w:pStyle w:val="Tabel-BrdtekstmedafstandptekstGaramond"/>
              <w:rPr>
                <w:i/>
              </w:rPr>
            </w:pPr>
            <w:r>
              <w:rPr>
                <w:i/>
              </w:rPr>
              <w:lastRenderedPageBreak/>
              <w:t>Dansk Byggeri</w:t>
            </w:r>
          </w:p>
        </w:tc>
        <w:tc>
          <w:tcPr>
            <w:tcW w:w="104" w:type="dxa"/>
            <w:shd w:val="clear" w:color="auto" w:fill="FFFFFF" w:themeFill="background1"/>
          </w:tcPr>
          <w:p w:rsidR="00BD6F46" w:rsidRPr="00B5346F" w:rsidRDefault="00BD6F46" w:rsidP="001A1477"/>
        </w:tc>
        <w:tc>
          <w:tcPr>
            <w:tcW w:w="3665" w:type="dxa"/>
            <w:tcBorders>
              <w:top w:val="single" w:sz="4" w:space="0" w:color="D1C5C3" w:themeColor="accent3"/>
              <w:bottom w:val="single" w:sz="4" w:space="0" w:color="D1C5C3" w:themeColor="accent3"/>
            </w:tcBorders>
            <w:shd w:val="clear" w:color="auto" w:fill="FBF9F9"/>
          </w:tcPr>
          <w:p w:rsidR="00BD6F46" w:rsidRDefault="00BD6F46" w:rsidP="001A1477">
            <w:pPr>
              <w:pStyle w:val="Tabel-BrdtekstmedafstandptekstGaramond"/>
              <w:rPr>
                <w:u w:val="single"/>
              </w:rPr>
            </w:pPr>
            <w:r>
              <w:rPr>
                <w:u w:val="single"/>
              </w:rPr>
              <w:t>DIAS</w:t>
            </w:r>
          </w:p>
          <w:p w:rsidR="00BD6F46" w:rsidRPr="00BD6F46" w:rsidRDefault="00BD6F46" w:rsidP="001A1477">
            <w:pPr>
              <w:pStyle w:val="Tabel-BrdtekstmedafstandptekstGaramond"/>
            </w:pPr>
            <w:r w:rsidRPr="00BD6F46">
              <w:t>Dansk Byggeri støtter udskydelsen af selvangivelsesfristen</w:t>
            </w:r>
            <w:r w:rsidR="00FC1142">
              <w:t>.</w:t>
            </w:r>
          </w:p>
        </w:tc>
        <w:tc>
          <w:tcPr>
            <w:tcW w:w="112" w:type="dxa"/>
            <w:shd w:val="clear" w:color="auto" w:fill="FFFFFF" w:themeFill="background1"/>
          </w:tcPr>
          <w:p w:rsidR="00BD6F46" w:rsidRPr="00B5346F" w:rsidRDefault="00BD6F46" w:rsidP="001A1477"/>
        </w:tc>
        <w:tc>
          <w:tcPr>
            <w:tcW w:w="3665" w:type="dxa"/>
            <w:tcBorders>
              <w:top w:val="single" w:sz="4" w:space="0" w:color="14143C" w:themeColor="accent1"/>
              <w:bottom w:val="single" w:sz="4" w:space="0" w:color="14143C" w:themeColor="accent1"/>
            </w:tcBorders>
            <w:shd w:val="clear" w:color="auto" w:fill="D2CED8"/>
          </w:tcPr>
          <w:p w:rsidR="00BD6F46" w:rsidRDefault="00BD6F46" w:rsidP="003B1577">
            <w:pPr>
              <w:pStyle w:val="Tabel-BrdtekstmedafstandptekstGaramond"/>
            </w:pPr>
          </w:p>
        </w:tc>
      </w:tr>
      <w:tr w:rsidR="00815F28" w:rsidRPr="00B5346F" w:rsidTr="005004E8">
        <w:tc>
          <w:tcPr>
            <w:tcW w:w="2093" w:type="dxa"/>
            <w:tcBorders>
              <w:top w:val="single" w:sz="4" w:space="0" w:color="D1C5C3" w:themeColor="accent3"/>
              <w:bottom w:val="single" w:sz="4" w:space="0" w:color="D1C5C3" w:themeColor="accent3"/>
            </w:tcBorders>
            <w:shd w:val="clear" w:color="auto" w:fill="FBF9F9"/>
          </w:tcPr>
          <w:p w:rsidR="00815F28" w:rsidRPr="00600E3E" w:rsidRDefault="00F74267" w:rsidP="001A1477">
            <w:pPr>
              <w:pStyle w:val="Tabel-BrdtekstmedafstandptekstGaramond"/>
              <w:rPr>
                <w:i/>
              </w:rPr>
            </w:pPr>
            <w:r>
              <w:rPr>
                <w:i/>
              </w:rPr>
              <w:t>Dansk Erhverv</w:t>
            </w:r>
          </w:p>
        </w:tc>
        <w:tc>
          <w:tcPr>
            <w:tcW w:w="104" w:type="dxa"/>
            <w:shd w:val="clear" w:color="auto" w:fill="FFFFFF" w:themeFill="background1"/>
          </w:tcPr>
          <w:p w:rsidR="00815F28" w:rsidRPr="00B5346F" w:rsidRDefault="00815F28" w:rsidP="001A1477"/>
        </w:tc>
        <w:tc>
          <w:tcPr>
            <w:tcW w:w="3665" w:type="dxa"/>
            <w:tcBorders>
              <w:top w:val="single" w:sz="4" w:space="0" w:color="D1C5C3" w:themeColor="accent3"/>
              <w:bottom w:val="single" w:sz="4" w:space="0" w:color="D1C5C3" w:themeColor="accent3"/>
            </w:tcBorders>
            <w:shd w:val="clear" w:color="auto" w:fill="FBF9F9"/>
          </w:tcPr>
          <w:p w:rsidR="00815F28" w:rsidRDefault="00823D78" w:rsidP="001A1477">
            <w:pPr>
              <w:pStyle w:val="Tabel-BrdtekstmedafstandptekstGaramond"/>
            </w:pPr>
            <w:r>
              <w:t>Dansk Erhverv foreslår, at der laves en definition på, hvilke lande der re</w:t>
            </w:r>
            <w:r>
              <w:t>g</w:t>
            </w:r>
            <w:r>
              <w:t>nes som skattelylande.</w:t>
            </w:r>
          </w:p>
          <w:p w:rsidR="00823D78" w:rsidRDefault="00823D78" w:rsidP="001A1477">
            <w:pPr>
              <w:pStyle w:val="Tabel-BrdtekstmedafstandptekstGaramond"/>
            </w:pPr>
          </w:p>
          <w:p w:rsidR="00EA5F20" w:rsidRDefault="00EA5F20" w:rsidP="00823D78">
            <w:pPr>
              <w:pStyle w:val="Tabel-BrdtekstmedafstandptekstGaramond"/>
            </w:pPr>
          </w:p>
          <w:p w:rsidR="00EA5F20" w:rsidRDefault="00EA5F20" w:rsidP="00823D78">
            <w:pPr>
              <w:pStyle w:val="Tabel-BrdtekstmedafstandptekstGaramond"/>
            </w:pPr>
          </w:p>
          <w:p w:rsidR="003B1577" w:rsidRDefault="003B1577" w:rsidP="00823D78">
            <w:pPr>
              <w:pStyle w:val="Tabel-BrdtekstmedafstandptekstGaramond"/>
            </w:pPr>
          </w:p>
          <w:p w:rsidR="003B1577" w:rsidRDefault="003B1577" w:rsidP="00823D78">
            <w:pPr>
              <w:pStyle w:val="Tabel-BrdtekstmedafstandptekstGaramond"/>
            </w:pPr>
          </w:p>
          <w:p w:rsidR="00823D78" w:rsidRDefault="00823D78" w:rsidP="00823D78">
            <w:pPr>
              <w:pStyle w:val="Tabel-BrdtekstmedafstandptekstGaramond"/>
            </w:pPr>
            <w:r>
              <w:t>Danmark bør ikke gå længere end landene omkring os, da man dermed blot erstatter en ubalance med en a</w:t>
            </w:r>
            <w:r>
              <w:t>n</w:t>
            </w:r>
            <w:r>
              <w:t>den, der tilmed har større administr</w:t>
            </w:r>
            <w:r>
              <w:t>a</w:t>
            </w:r>
            <w:r>
              <w:t>tive konsekvenser.</w:t>
            </w:r>
          </w:p>
          <w:p w:rsidR="001E3985" w:rsidRDefault="001E3985" w:rsidP="00823D78">
            <w:pPr>
              <w:pStyle w:val="Tabel-BrdtekstmedafstandptekstGaramond"/>
            </w:pPr>
          </w:p>
          <w:p w:rsidR="00823D78" w:rsidRDefault="00823D78" w:rsidP="00823D78">
            <w:pPr>
              <w:pStyle w:val="Tabel-BrdtekstmedafstandptekstGaramond"/>
              <w:rPr>
                <w:u w:val="single"/>
              </w:rPr>
            </w:pPr>
            <w:r>
              <w:rPr>
                <w:u w:val="single"/>
              </w:rPr>
              <w:t>Bindende svar</w:t>
            </w:r>
          </w:p>
          <w:p w:rsidR="008406DD" w:rsidRPr="008406DD" w:rsidRDefault="008406DD" w:rsidP="008406DD">
            <w:pPr>
              <w:pStyle w:val="Tabel-BrdtekstmedafstandptekstGaramond"/>
            </w:pPr>
            <w:r w:rsidRPr="008406DD">
              <w:t>Dansk Erhverv finder det stærkt krit</w:t>
            </w:r>
            <w:r w:rsidRPr="008406DD">
              <w:t>i</w:t>
            </w:r>
            <w:r w:rsidRPr="008406DD">
              <w:t>sabelt, at der lægges op til, at et bi</w:t>
            </w:r>
            <w:r w:rsidRPr="008406DD">
              <w:t>n</w:t>
            </w:r>
            <w:r w:rsidRPr="008406DD">
              <w:t>dende svar skal kunne ophæves. Det trækker i den forkerte retning og må formodes at vil få en negativ indvir</w:t>
            </w:r>
            <w:r w:rsidRPr="008406DD">
              <w:t>k</w:t>
            </w:r>
            <w:r w:rsidRPr="008406DD">
              <w:t>ning på tilliden til det danske skattes</w:t>
            </w:r>
            <w:r w:rsidRPr="008406DD">
              <w:t>y</w:t>
            </w:r>
            <w:r w:rsidRPr="008406DD">
              <w:t>stem og dermed på investeringslysten i Danmark.</w:t>
            </w:r>
          </w:p>
          <w:p w:rsidR="00823D78" w:rsidRDefault="00823D78"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p>
          <w:p w:rsidR="001E3985" w:rsidRDefault="001E3985" w:rsidP="00823D78">
            <w:pPr>
              <w:pStyle w:val="Tabel-BrdtekstmedafstandptekstGaramond"/>
            </w:pPr>
            <w:r>
              <w:rPr>
                <w:u w:val="single"/>
              </w:rPr>
              <w:t>International omgåelsesklausul</w:t>
            </w:r>
          </w:p>
          <w:p w:rsidR="001E3985" w:rsidRDefault="001E3985" w:rsidP="001E3985">
            <w:pPr>
              <w:pStyle w:val="Tabel-BrdtekstmedafstandptekstGaramond"/>
            </w:pPr>
            <w:r>
              <w:t>Dansk Erhverv mener, at danske virksomheder risikere</w:t>
            </w:r>
            <w:r w:rsidR="006940AA">
              <w:t>r</w:t>
            </w:r>
            <w:r>
              <w:t xml:space="preserve"> at komme i klemme mellem de danske og ude</w:t>
            </w:r>
            <w:r>
              <w:t>n</w:t>
            </w:r>
            <w:r>
              <w:t>landske skattemyndigheder, da man ikke vil have en EU-konform fortol</w:t>
            </w:r>
            <w:r>
              <w:t>k</w:t>
            </w:r>
            <w:r>
              <w:t>ning af reglerne i rente-royaltydirektivet</w:t>
            </w:r>
            <w:r w:rsidR="00560903">
              <w:t xml:space="preserve"> og fusionsskatted</w:t>
            </w:r>
            <w:r w:rsidR="00560903">
              <w:t>i</w:t>
            </w:r>
            <w:r w:rsidR="00560903">
              <w:t>rektivet ved udbredelsen af omgåe</w:t>
            </w:r>
            <w:r w:rsidR="00560903">
              <w:t>l</w:t>
            </w:r>
            <w:r w:rsidR="00560903">
              <w:t>sesklausulen fra moder-/datterselskabsdirektivet.</w:t>
            </w:r>
          </w:p>
          <w:p w:rsidR="00560903" w:rsidRDefault="00560903" w:rsidP="001E3985">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C046EF" w:rsidRDefault="00C046EF" w:rsidP="00560903">
            <w:pPr>
              <w:pStyle w:val="Tabel-BrdtekstmedafstandptekstGaramond"/>
            </w:pPr>
          </w:p>
          <w:p w:rsidR="00BB4D98" w:rsidRDefault="00BB4D98" w:rsidP="00560903">
            <w:pPr>
              <w:pStyle w:val="Tabel-BrdtekstmedafstandptekstGaramond"/>
            </w:pPr>
          </w:p>
          <w:p w:rsidR="00BB4D98" w:rsidRDefault="00BB4D98" w:rsidP="00560903">
            <w:pPr>
              <w:pStyle w:val="Tabel-BrdtekstmedafstandptekstGaramond"/>
            </w:pPr>
          </w:p>
          <w:p w:rsidR="00C046EF" w:rsidRDefault="00C046EF"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195EC8" w:rsidRDefault="00195EC8" w:rsidP="00560903">
            <w:pPr>
              <w:pStyle w:val="Tabel-BrdtekstmedafstandptekstGaramond"/>
            </w:pPr>
          </w:p>
          <w:p w:rsidR="00560903" w:rsidRPr="001E3985" w:rsidRDefault="00560903" w:rsidP="00560903">
            <w:pPr>
              <w:pStyle w:val="Tabel-BrdtekstmedafstandptekstGaramond"/>
            </w:pPr>
            <w:r>
              <w:t>Dansk Erhverv undre</w:t>
            </w:r>
            <w:r w:rsidR="007D2B7E">
              <w:t>r</w:t>
            </w:r>
            <w:r>
              <w:t xml:space="preserve"> sig over, at </w:t>
            </w:r>
            <w:r>
              <w:lastRenderedPageBreak/>
              <w:t>man fra dansk side mener, at man kan indsætte en omgåelsesklausul i relat</w:t>
            </w:r>
            <w:r>
              <w:t>i</w:t>
            </w:r>
            <w:r>
              <w:t>on til dobbeltbeskatningsoveren</w:t>
            </w:r>
            <w:r>
              <w:t>s</w:t>
            </w:r>
            <w:r>
              <w:t>komster. Dansk Erhverv er bekymret for, om denne generelle værnsregel vil blive anerkendt af alle lande, som Danmark har en dobbeltbeskatning</w:t>
            </w:r>
            <w:r>
              <w:t>s</w:t>
            </w:r>
            <w:r>
              <w:t xml:space="preserve">aftale med. </w:t>
            </w:r>
          </w:p>
        </w:tc>
        <w:tc>
          <w:tcPr>
            <w:tcW w:w="112" w:type="dxa"/>
            <w:shd w:val="clear" w:color="auto" w:fill="FFFFFF" w:themeFill="background1"/>
          </w:tcPr>
          <w:p w:rsidR="00815F28" w:rsidRPr="00B5346F" w:rsidRDefault="00815F28" w:rsidP="001A1477"/>
        </w:tc>
        <w:tc>
          <w:tcPr>
            <w:tcW w:w="3665" w:type="dxa"/>
            <w:tcBorders>
              <w:top w:val="single" w:sz="4" w:space="0" w:color="14143C" w:themeColor="accent1"/>
              <w:bottom w:val="single" w:sz="4" w:space="0" w:color="14143C" w:themeColor="accent1"/>
            </w:tcBorders>
            <w:shd w:val="clear" w:color="auto" w:fill="D2CED8"/>
          </w:tcPr>
          <w:p w:rsidR="00815F28" w:rsidRDefault="00EA5F20" w:rsidP="003B1577">
            <w:pPr>
              <w:pStyle w:val="Tabel-BrdtekstmedafstandptekstGaramond"/>
            </w:pPr>
            <w:r>
              <w:t xml:space="preserve">EU Kommissionen foreslog i 2012 en henstilling om </w:t>
            </w:r>
            <w:proofErr w:type="spellStart"/>
            <w:r>
              <w:t>go</w:t>
            </w:r>
            <w:r w:rsidR="003B1577">
              <w:t>o</w:t>
            </w:r>
            <w:r>
              <w:t>d</w:t>
            </w:r>
            <w:proofErr w:type="spellEnd"/>
            <w:r>
              <w:t xml:space="preserve"> </w:t>
            </w:r>
            <w:proofErr w:type="spellStart"/>
            <w:r>
              <w:t>governance</w:t>
            </w:r>
            <w:proofErr w:type="spellEnd"/>
            <w:r>
              <w:t xml:space="preserve"> på skatteområdet. Danmark støtter</w:t>
            </w:r>
            <w:r w:rsidR="003B1577">
              <w:t xml:space="preserve"> i den forbindelse etableringen af en fælles EU-sortlistning af lande, der ikke o</w:t>
            </w:r>
            <w:r w:rsidR="003B1577">
              <w:t>p</w:t>
            </w:r>
            <w:r w:rsidR="003B1577">
              <w:t>fylder de internationale standarder for god forvaltningspraksis</w:t>
            </w:r>
            <w:r>
              <w:t xml:space="preserve">. </w:t>
            </w:r>
          </w:p>
          <w:p w:rsidR="003B1577" w:rsidRDefault="003B1577" w:rsidP="003B1577">
            <w:pPr>
              <w:pStyle w:val="Tabel-BrdtekstmedafstandptekstGaramond"/>
            </w:pPr>
          </w:p>
          <w:p w:rsidR="003B1577" w:rsidRDefault="003B1577" w:rsidP="003B1577">
            <w:pPr>
              <w:pStyle w:val="Tabel-BrdtekstmedafstandptekstGaramond"/>
            </w:pPr>
            <w:r>
              <w:t>Misbrug og skatteunddragelse bør i</w:t>
            </w:r>
            <w:r>
              <w:t>k</w:t>
            </w:r>
            <w:r>
              <w:t>ke accepteres. I lovforslaget foreslås derfor tre tiltag, der skal hindre mi</w:t>
            </w:r>
            <w:r>
              <w:t>s</w:t>
            </w:r>
            <w:r>
              <w:t>brug og skatteunddragelse.</w:t>
            </w:r>
          </w:p>
          <w:p w:rsidR="008406DD" w:rsidRDefault="008406DD" w:rsidP="003B1577">
            <w:pPr>
              <w:pStyle w:val="Tabel-BrdtekstmedafstandptekstGaramond"/>
            </w:pPr>
          </w:p>
          <w:p w:rsidR="001E3985" w:rsidRDefault="001E3985" w:rsidP="003B1577">
            <w:pPr>
              <w:pStyle w:val="Tabel-BrdtekstmedafstandptekstGaramond"/>
            </w:pPr>
          </w:p>
          <w:p w:rsidR="001E3985" w:rsidRDefault="001E3985" w:rsidP="003B1577">
            <w:pPr>
              <w:pStyle w:val="Tabel-BrdtekstmedafstandptekstGaramond"/>
            </w:pPr>
          </w:p>
          <w:p w:rsidR="008406DD" w:rsidRDefault="008406DD" w:rsidP="008406DD">
            <w:pPr>
              <w:pStyle w:val="Tabel-BrdtekstmedafstandptekstGaramond"/>
            </w:pPr>
            <w:r w:rsidRPr="008406DD">
              <w:t>En første forudsætning for, at et bi</w:t>
            </w:r>
            <w:r w:rsidRPr="008406DD">
              <w:t>n</w:t>
            </w:r>
            <w:r w:rsidRPr="008406DD">
              <w:t>dende svar om et aktivs værdi kan bortfalde, er, at den værdi, der er a</w:t>
            </w:r>
            <w:r w:rsidRPr="008406DD">
              <w:t>n</w:t>
            </w:r>
            <w:r w:rsidRPr="008406DD">
              <w:t>givet i svaret, ikke kan siges at repr</w:t>
            </w:r>
            <w:r w:rsidRPr="008406DD">
              <w:t>æ</w:t>
            </w:r>
            <w:r w:rsidRPr="008406DD">
              <w:t>sentere den rigtige værdi på tidspun</w:t>
            </w:r>
            <w:r w:rsidRPr="008406DD">
              <w:t>k</w:t>
            </w:r>
            <w:r w:rsidRPr="008406DD">
              <w:t>tet for afgivelsen af det bindende svar. Dernæst er det en forudsætning, at værdiafvigelsen er væsentlig, idet v</w:t>
            </w:r>
            <w:r w:rsidRPr="008406DD">
              <w:t>æ</w:t>
            </w:r>
            <w:r w:rsidRPr="008406DD">
              <w:t>sentlig er defineret i lovteksten. End</w:t>
            </w:r>
            <w:r w:rsidRPr="008406DD">
              <w:t>e</w:t>
            </w:r>
            <w:r w:rsidRPr="008406DD">
              <w:t>lig er det udtrykkeligt afgrænset, hvi</w:t>
            </w:r>
            <w:r w:rsidRPr="008406DD">
              <w:t>l</w:t>
            </w:r>
            <w:r w:rsidRPr="008406DD">
              <w:t xml:space="preserve">ke forhold der kan danne grundlag for en eventuel revurdering af værdien. På den baggrund må det forventes, at den absolutte hovedregel vil være, at </w:t>
            </w:r>
            <w:r w:rsidRPr="008406DD">
              <w:lastRenderedPageBreak/>
              <w:t>et bindende svar er bindende, og at spørgeren trygt vil kunne disponere på baggrund heraf.</w:t>
            </w:r>
          </w:p>
          <w:p w:rsidR="008406DD" w:rsidRPr="008406DD" w:rsidRDefault="008406DD" w:rsidP="008406DD">
            <w:pPr>
              <w:pStyle w:val="Tabel-BrdtekstmedafstandptekstGaramond"/>
            </w:pPr>
          </w:p>
          <w:p w:rsidR="008406DD" w:rsidRDefault="008406DD" w:rsidP="008406DD">
            <w:pPr>
              <w:pStyle w:val="Tabel-BrdtekstmedafstandptekstGaramond"/>
            </w:pPr>
            <w:r w:rsidRPr="008406DD">
              <w:t xml:space="preserve">Der henvises i øvrigt til kommentaren til Advokatrådet. </w:t>
            </w:r>
          </w:p>
          <w:p w:rsidR="00560903" w:rsidRDefault="00560903" w:rsidP="008406DD">
            <w:pPr>
              <w:pStyle w:val="Tabel-BrdtekstmedafstandptekstGaramond"/>
            </w:pPr>
          </w:p>
          <w:p w:rsidR="00560903" w:rsidRDefault="00560903" w:rsidP="008406DD">
            <w:pPr>
              <w:pStyle w:val="Tabel-BrdtekstmedafstandptekstGaramond"/>
            </w:pPr>
          </w:p>
          <w:p w:rsidR="00560903" w:rsidRDefault="00BB4D98" w:rsidP="008406DD">
            <w:pPr>
              <w:pStyle w:val="Tabel-BrdtekstmedafstandptekstGaramond"/>
            </w:pPr>
            <w:bookmarkStart w:id="1" w:name="Navn"/>
            <w:bookmarkEnd w:id="1"/>
            <w:r>
              <w:t>Der er tale om implementering af b</w:t>
            </w:r>
            <w:r>
              <w:t>e</w:t>
            </w:r>
            <w:r>
              <w:t xml:space="preserve">stemmelser i overensstemmelse med bemyndigelserne i direktiverne. </w:t>
            </w:r>
            <w:r w:rsidR="00C046EF">
              <w:t>EU-</w:t>
            </w:r>
            <w:r w:rsidR="006940AA">
              <w:t>K</w:t>
            </w:r>
            <w:r w:rsidR="00C046EF">
              <w:t>ommissionen har tilbage i december 2012 varslet, at de vil overveje at i</w:t>
            </w:r>
            <w:r w:rsidR="00C046EF">
              <w:t>m</w:t>
            </w:r>
            <w:r w:rsidR="00C046EF">
              <w:t>plementere omgåelsesklausuler i m</w:t>
            </w:r>
            <w:r w:rsidR="00C046EF">
              <w:t>o</w:t>
            </w:r>
            <w:r w:rsidR="00C046EF">
              <w:t>der-/datterselskabsdirektivet, rente-/royaltydirektivet og fusionsskatted</w:t>
            </w:r>
            <w:r w:rsidR="00C046EF">
              <w:t>i</w:t>
            </w:r>
            <w:r w:rsidR="00C046EF">
              <w:t>rektivet. Disse overvejelser førte frem til den nu vedtagne omgåelsesklausul i moder-/datterselskabsdirektivet. Det fremgår af afrapporteringen fra det italienske formandskab til ECOFIN i december 2014, at formandsskabet under behandlingen af kommissi</w:t>
            </w:r>
            <w:r w:rsidR="00C046EF">
              <w:t>o</w:t>
            </w:r>
            <w:r w:rsidR="00C046EF">
              <w:t>nens forslag til ændring af rente-/royaltydirektivet har foreslået, at æ</w:t>
            </w:r>
            <w:r w:rsidR="00C046EF">
              <w:t>n</w:t>
            </w:r>
            <w:r w:rsidR="00C046EF">
              <w:t>dringsforslaget udvides med en o</w:t>
            </w:r>
            <w:r w:rsidR="00C046EF">
              <w:t>m</w:t>
            </w:r>
            <w:r w:rsidR="00C046EF">
              <w:t>gåelsesklausul i lighed med den, der er vedtaget i moder-</w:t>
            </w:r>
            <w:r>
              <w:t>/</w:t>
            </w:r>
            <w:r w:rsidR="00C046EF">
              <w:t xml:space="preserve">datterselskabsdirektivet. </w:t>
            </w:r>
            <w:r w:rsidR="00560903">
              <w:t>Der henv</w:t>
            </w:r>
            <w:r w:rsidR="00560903">
              <w:t>i</w:t>
            </w:r>
            <w:r w:rsidR="00560903">
              <w:t xml:space="preserve">ses </w:t>
            </w:r>
            <w:r w:rsidR="00C046EF">
              <w:t xml:space="preserve">endvidere </w:t>
            </w:r>
            <w:r w:rsidR="00560903">
              <w:t>til kommentaren til Danske Advokater.</w:t>
            </w:r>
            <w:r w:rsidR="00195EC8">
              <w:t xml:space="preserve"> Endelig bemæ</w:t>
            </w:r>
            <w:r w:rsidR="00195EC8">
              <w:t>r</w:t>
            </w:r>
            <w:r w:rsidR="00195EC8">
              <w:t>kes, at ECOFIN i forbindelse med vedtagelsen af omgåelsesklausulen i moder-/datterselskabsdirektivet kom med en erklæring</w:t>
            </w:r>
            <w:r w:rsidR="004A1D91">
              <w:t xml:space="preserve"> om</w:t>
            </w:r>
            <w:r w:rsidR="00195EC8">
              <w:t>, at Rådet vil t</w:t>
            </w:r>
            <w:r w:rsidR="00195EC8">
              <w:t>a</w:t>
            </w:r>
            <w:r w:rsidR="00195EC8">
              <w:t>ge hensyn til bestemmelsen om b</w:t>
            </w:r>
            <w:r w:rsidR="00195EC8">
              <w:t>e</w:t>
            </w:r>
            <w:r w:rsidR="00195EC8">
              <w:t>kæmpelse af misbrug i moder-/datterselskabsdirektivet i sit fremt</w:t>
            </w:r>
            <w:r w:rsidR="00195EC8">
              <w:t>i</w:t>
            </w:r>
            <w:r w:rsidR="00195EC8">
              <w:t>dige arbejde med en eventuel b</w:t>
            </w:r>
            <w:r w:rsidR="00195EC8">
              <w:t>e</w:t>
            </w:r>
            <w:r w:rsidR="00195EC8">
              <w:t>stemmelse om bekæmpelse af mi</w:t>
            </w:r>
            <w:r w:rsidR="00195EC8">
              <w:t>s</w:t>
            </w:r>
            <w:r w:rsidR="00195EC8">
              <w:t>brug, der skal medtages i rente-/royaltydirektivet.</w:t>
            </w:r>
          </w:p>
          <w:p w:rsidR="00560903" w:rsidRDefault="00560903" w:rsidP="008406DD">
            <w:pPr>
              <w:pStyle w:val="Tabel-BrdtekstmedafstandptekstGaramond"/>
            </w:pPr>
          </w:p>
          <w:p w:rsidR="00560903" w:rsidRPr="00B5346F" w:rsidRDefault="00560903" w:rsidP="008406DD">
            <w:pPr>
              <w:pStyle w:val="Tabel-BrdtekstmedafstandptekstGaramond"/>
            </w:pPr>
            <w:r>
              <w:t>Der henvises til kommentaren til A</w:t>
            </w:r>
            <w:r>
              <w:t>d</w:t>
            </w:r>
            <w:r>
              <w:lastRenderedPageBreak/>
              <w:t>vokatrådet.</w:t>
            </w:r>
          </w:p>
        </w:tc>
      </w:tr>
      <w:tr w:rsidR="007E1867" w:rsidRPr="00B5346F" w:rsidTr="005004E8">
        <w:tc>
          <w:tcPr>
            <w:tcW w:w="2093" w:type="dxa"/>
            <w:tcBorders>
              <w:top w:val="single" w:sz="4" w:space="0" w:color="D1C5C3" w:themeColor="accent3"/>
              <w:bottom w:val="single" w:sz="4" w:space="0" w:color="D1C5C3" w:themeColor="accent3"/>
            </w:tcBorders>
            <w:shd w:val="clear" w:color="auto" w:fill="FBF9F9"/>
          </w:tcPr>
          <w:p w:rsidR="007E1867" w:rsidRDefault="007E1867" w:rsidP="006105E3">
            <w:pPr>
              <w:pStyle w:val="Tabel-BrdtekstmedafstandptekstGaramond"/>
              <w:rPr>
                <w:i/>
              </w:rPr>
            </w:pPr>
            <w:r>
              <w:rPr>
                <w:i/>
              </w:rPr>
              <w:lastRenderedPageBreak/>
              <w:t>DI</w:t>
            </w:r>
          </w:p>
        </w:tc>
        <w:tc>
          <w:tcPr>
            <w:tcW w:w="104" w:type="dxa"/>
            <w:shd w:val="clear" w:color="auto" w:fill="FFFFFF" w:themeFill="background1"/>
          </w:tcPr>
          <w:p w:rsidR="007E1867" w:rsidRPr="00B5346F" w:rsidRDefault="007E1867" w:rsidP="001A1477"/>
        </w:tc>
        <w:tc>
          <w:tcPr>
            <w:tcW w:w="3665" w:type="dxa"/>
            <w:tcBorders>
              <w:top w:val="single" w:sz="4" w:space="0" w:color="D1C5C3" w:themeColor="accent3"/>
              <w:bottom w:val="single" w:sz="4" w:space="0" w:color="D1C5C3" w:themeColor="accent3"/>
            </w:tcBorders>
            <w:shd w:val="clear" w:color="auto" w:fill="FBF9F9"/>
          </w:tcPr>
          <w:p w:rsidR="007E1867" w:rsidRDefault="00664B51" w:rsidP="001A1477">
            <w:pPr>
              <w:pStyle w:val="Tabel-BrdtekstmedafstandptekstGaramond"/>
            </w:pPr>
            <w:r>
              <w:t>DI har forståelse for, at der politisk har været ønske om at sætte ind over for misbrug af skattely. Det konkrete forslag synes imidlertid desværre at være endnu et tilfælde, hvor man med fokus på at bekæmpe forholdsvis få tilfælde af misbrug eller aggressiv skatteplanlægning foreslår indgreb, der rammer langt bredere og til skade for mange virksomheder, der bestr</w:t>
            </w:r>
            <w:r>
              <w:t>æ</w:t>
            </w:r>
            <w:r>
              <w:t>ber sig på, at følge skattereglerne.</w:t>
            </w:r>
          </w:p>
          <w:p w:rsidR="00664B51" w:rsidRDefault="00664B51" w:rsidP="001A1477">
            <w:pPr>
              <w:pStyle w:val="Tabel-BrdtekstmedafstandptekstGaramond"/>
            </w:pPr>
          </w:p>
          <w:p w:rsidR="00664B51" w:rsidRPr="00664B51" w:rsidRDefault="00664B51" w:rsidP="001A1477">
            <w:pPr>
              <w:pStyle w:val="Tabel-BrdtekstmedafstandptekstGaramond"/>
              <w:rPr>
                <w:u w:val="single"/>
              </w:rPr>
            </w:pPr>
            <w:r w:rsidRPr="00664B51">
              <w:rPr>
                <w:u w:val="single"/>
              </w:rPr>
              <w:t>International omgåelsesklausul</w:t>
            </w:r>
          </w:p>
          <w:p w:rsidR="00664B51" w:rsidRDefault="007D2B7E" w:rsidP="001A1477">
            <w:pPr>
              <w:pStyle w:val="Tabel-BrdtekstmedafstandptekstGaramond"/>
            </w:pPr>
            <w:r>
              <w:t>DI anfører, at de transaktioner, som omgåelsesklausulen skal anvendes på i forhold til de tre direktiver, er så fo</w:t>
            </w:r>
            <w:r>
              <w:t>r</w:t>
            </w:r>
            <w:r>
              <w:t>skellige, at den nærmere fastlæggelse af omgåelsesklausulens indhold må forventes at være forskellig for hvert af de tre direktivers anvendelseso</w:t>
            </w:r>
            <w:r>
              <w:t>m</w:t>
            </w:r>
            <w:r>
              <w:t>råde. Det giver derfor ikke større klarhed at have en omgåelsesklausul, som omfatter de tre direktiver.</w:t>
            </w:r>
          </w:p>
          <w:p w:rsidR="00DB7A0F" w:rsidRDefault="00DB7A0F" w:rsidP="001A1477">
            <w:pPr>
              <w:pStyle w:val="Tabel-BrdtekstmedafstandptekstGaramond"/>
            </w:pPr>
          </w:p>
          <w:p w:rsidR="00DB7A0F" w:rsidRDefault="00DB7A0F" w:rsidP="001A1477">
            <w:pPr>
              <w:pStyle w:val="Tabel-BrdtekstmedafstandptekstGaramond"/>
            </w:pPr>
            <w:r>
              <w:t>DI anfører, at lovbemærkningerne bør forholde sig til, om omgåelse</w:t>
            </w:r>
            <w:r>
              <w:t>s</w:t>
            </w:r>
            <w:r>
              <w:t>klausulen kan have betydning i fo</w:t>
            </w:r>
            <w:r>
              <w:t>r</w:t>
            </w:r>
            <w:r>
              <w:t>hold til skattefri omstruktureringer gennemført efter de objektive regler uden tilladelse.</w:t>
            </w:r>
          </w:p>
          <w:p w:rsidR="00106106" w:rsidRDefault="00106106" w:rsidP="001A1477">
            <w:pPr>
              <w:pStyle w:val="Tabel-BrdtekstmedafstandptekstGaramond"/>
            </w:pPr>
          </w:p>
          <w:p w:rsidR="00DB7A0F" w:rsidRDefault="00BB4D98" w:rsidP="001A1477">
            <w:pPr>
              <w:pStyle w:val="Tabel-BrdtekstmedafstandptekstGaramond"/>
            </w:pPr>
            <w:r>
              <w:t>DI m</w:t>
            </w:r>
            <w:r w:rsidR="00DB7A0F">
              <w:t>ener, at det bør sikres, at en dansk indførelse af en omgåelseskla</w:t>
            </w:r>
            <w:r w:rsidR="00DB7A0F">
              <w:t>u</w:t>
            </w:r>
            <w:r w:rsidR="00DB7A0F">
              <w:t xml:space="preserve">sul ikke opfattes som en opsigelse af </w:t>
            </w:r>
            <w:r w:rsidR="00DB7A0F">
              <w:lastRenderedPageBreak/>
              <w:t>dobbeltbeskatnings</w:t>
            </w:r>
            <w:r w:rsidR="005F536D">
              <w:t>overenskomsterne af aftaleparterne, i de tilfælde hvor overenskomsten ikke indeholder en omgåelsesklausul.</w:t>
            </w:r>
          </w:p>
          <w:p w:rsidR="00E63FCE" w:rsidRDefault="00E63FCE" w:rsidP="001A1477">
            <w:pPr>
              <w:pStyle w:val="Tabel-BrdtekstmedafstandptekstGaramond"/>
            </w:pPr>
          </w:p>
          <w:p w:rsidR="00E63FCE" w:rsidRDefault="00E63FCE" w:rsidP="001A1477">
            <w:pPr>
              <w:pStyle w:val="Tabel-BrdtekstmedafstandptekstGaramond"/>
            </w:pPr>
            <w:r>
              <w:t>DI er bekymret for, at Danmark in</w:t>
            </w:r>
            <w:r>
              <w:t>d</w:t>
            </w:r>
            <w:r>
              <w:t xml:space="preserve">fører bestemmelser, som ikke generelt anvendes tilsvarende i udlandet, og bemærkningerne bør forholde sig til, om de danske særregler kan føre til utilsigtet dobbeltbeskatning.  </w:t>
            </w:r>
          </w:p>
          <w:p w:rsidR="00DB7A0F" w:rsidRDefault="00DB7A0F" w:rsidP="001A1477">
            <w:pPr>
              <w:pStyle w:val="Tabel-BrdtekstmedafstandptekstGaramond"/>
            </w:pPr>
          </w:p>
          <w:p w:rsidR="00664B51" w:rsidRPr="00664B51" w:rsidRDefault="00664B51" w:rsidP="001A1477">
            <w:pPr>
              <w:pStyle w:val="Tabel-BrdtekstmedafstandptekstGaramond"/>
              <w:rPr>
                <w:u w:val="single"/>
              </w:rPr>
            </w:pPr>
            <w:r w:rsidRPr="00664B51">
              <w:rPr>
                <w:u w:val="single"/>
              </w:rPr>
              <w:t>Bindende svar</w:t>
            </w:r>
          </w:p>
          <w:p w:rsidR="006105E3" w:rsidRPr="006105E3" w:rsidRDefault="006105E3" w:rsidP="006105E3">
            <w:pPr>
              <w:pStyle w:val="Tabel-BrdtekstmedafstandptekstGaramond"/>
            </w:pPr>
            <w:r w:rsidRPr="006105E3">
              <w:t>DI mener ikke, at der henset til de a</w:t>
            </w:r>
            <w:r w:rsidRPr="006105E3">
              <w:t>l</w:t>
            </w:r>
            <w:r w:rsidRPr="006105E3">
              <w:t>lerede gældende regler er grundlag for at gennemføre forslaget. Forslaget vil fratage virksomheder og personer muligheden for at opnå sikkerhed for værdiansættelsen af aktivet, idet ko</w:t>
            </w:r>
            <w:r w:rsidRPr="006105E3">
              <w:t>n</w:t>
            </w:r>
            <w:r w:rsidRPr="006105E3">
              <w:t>sekvensen heraf samtidig må forve</w:t>
            </w:r>
            <w:r w:rsidRPr="006105E3">
              <w:t>n</w:t>
            </w:r>
            <w:r w:rsidRPr="006105E3">
              <w:t>tes at blive flere ressourcekrævende og langvarige efterfølgende tvister i klagesystemet og ved domstolene. Der efterlyses på den baggrund en uddybning af begrundelsen for, hvo</w:t>
            </w:r>
            <w:r w:rsidRPr="006105E3">
              <w:t>r</w:t>
            </w:r>
            <w:r w:rsidRPr="006105E3">
              <w:t xml:space="preserve">for de gældende regler ikke anses for til strækkelige. </w:t>
            </w:r>
          </w:p>
          <w:p w:rsidR="00B63EED" w:rsidRDefault="00B63EED" w:rsidP="001A1477">
            <w:pPr>
              <w:pStyle w:val="Tabel-BrdtekstmedafstandptekstGaramond"/>
            </w:pPr>
          </w:p>
          <w:p w:rsidR="006105E3" w:rsidRDefault="006105E3" w:rsidP="006105E3">
            <w:pPr>
              <w:pStyle w:val="Tabel-BrdtekstmedafstandptekstGaramond"/>
            </w:pPr>
            <w:r w:rsidRPr="006105E3">
              <w:t>DI kritiserer, at kravet til skattemy</w:t>
            </w:r>
            <w:r w:rsidRPr="006105E3">
              <w:t>n</w:t>
            </w:r>
            <w:r w:rsidRPr="006105E3">
              <w:t>dighederne blot er, at de skal sandsy</w:t>
            </w:r>
            <w:r w:rsidRPr="006105E3">
              <w:t>n</w:t>
            </w:r>
            <w:r w:rsidRPr="006105E3">
              <w:t>liggøre, at den værdi, der er konstat</w:t>
            </w:r>
            <w:r w:rsidRPr="006105E3">
              <w:t>e</w:t>
            </w:r>
            <w:r w:rsidRPr="006105E3">
              <w:t>ret efterfølgende, også må anses for mere retvisende.</w:t>
            </w:r>
          </w:p>
          <w:p w:rsidR="006105E3" w:rsidRPr="006105E3" w:rsidRDefault="006105E3" w:rsidP="006105E3">
            <w:pPr>
              <w:pStyle w:val="Tabel-BrdtekstmedafstandptekstGaramond"/>
            </w:pPr>
          </w:p>
          <w:p w:rsidR="006105E3" w:rsidRDefault="006105E3" w:rsidP="006105E3">
            <w:pPr>
              <w:pStyle w:val="Tabel-BrdtekstmedafstandptekstGaramond"/>
            </w:pPr>
            <w:r w:rsidRPr="006105E3">
              <w:t>Hvis forslaget alligevel fremmes, m</w:t>
            </w:r>
            <w:r w:rsidRPr="006105E3">
              <w:t>e</w:t>
            </w:r>
            <w:r w:rsidRPr="006105E3">
              <w:t xml:space="preserve">ner DI, at grænsen for, hvor meget værdien af aktiverne skal afvige, bør hæves fx til 50 pct. </w:t>
            </w:r>
          </w:p>
          <w:p w:rsidR="006105E3" w:rsidRDefault="006105E3" w:rsidP="006105E3">
            <w:pPr>
              <w:pStyle w:val="Tabel-BrdtekstmedafstandptekstGaramond"/>
            </w:pPr>
          </w:p>
          <w:p w:rsidR="006105E3" w:rsidRDefault="006105E3" w:rsidP="006105E3">
            <w:pPr>
              <w:pStyle w:val="Tabel-BrdtekstmedafstandptekstGaramond"/>
            </w:pPr>
          </w:p>
          <w:p w:rsidR="006105E3" w:rsidRDefault="006105E3" w:rsidP="006105E3">
            <w:pPr>
              <w:pStyle w:val="Tabel-BrdtekstmedafstandptekstGaramond"/>
            </w:pPr>
          </w:p>
          <w:p w:rsidR="006105E3" w:rsidRDefault="006105E3" w:rsidP="006105E3">
            <w:pPr>
              <w:pStyle w:val="Tabel-BrdtekstmedafstandptekstGaramond"/>
            </w:pPr>
          </w:p>
          <w:p w:rsidR="006105E3" w:rsidRDefault="006105E3" w:rsidP="006105E3">
            <w:pPr>
              <w:pStyle w:val="Tabel-BrdtekstmedafstandptekstGaramond"/>
            </w:pPr>
          </w:p>
          <w:p w:rsidR="006105E3" w:rsidRDefault="006105E3" w:rsidP="006105E3">
            <w:pPr>
              <w:pStyle w:val="Tabel-BrdtekstmedafstandptekstGaramond"/>
            </w:pPr>
          </w:p>
          <w:p w:rsidR="006105E3" w:rsidRDefault="006105E3" w:rsidP="006105E3">
            <w:pPr>
              <w:pStyle w:val="Tabel-BrdtekstmedafstandptekstGaramond"/>
            </w:pPr>
          </w:p>
          <w:p w:rsidR="006105E3" w:rsidRDefault="006105E3" w:rsidP="006105E3">
            <w:pPr>
              <w:pStyle w:val="Tabel-BrdtekstmedafstandptekstGaramond"/>
            </w:pPr>
          </w:p>
          <w:p w:rsidR="00C05FBA" w:rsidRDefault="00C05FBA" w:rsidP="006105E3">
            <w:pPr>
              <w:pStyle w:val="Tabel-BrdtekstmedafstandptekstGaramond"/>
            </w:pPr>
          </w:p>
          <w:p w:rsidR="006105E3" w:rsidRPr="006105E3" w:rsidRDefault="006105E3" w:rsidP="006105E3">
            <w:pPr>
              <w:pStyle w:val="Tabel-BrdtekstmedafstandptekstGaramond"/>
            </w:pPr>
            <w:r w:rsidRPr="006105E3">
              <w:t>DI mener ikke, at der er nogen tvi</w:t>
            </w:r>
            <w:r w:rsidRPr="006105E3">
              <w:t>n</w:t>
            </w:r>
            <w:r w:rsidRPr="006105E3">
              <w:t>gende grund til at indføre en kortere fast bindingsperiode vedrørende væ</w:t>
            </w:r>
            <w:r w:rsidRPr="006105E3">
              <w:t>r</w:t>
            </w:r>
            <w:r w:rsidRPr="006105E3">
              <w:t>diansættelse, når der allerede efter gældende regler kan indsættes en ko</w:t>
            </w:r>
            <w:r w:rsidRPr="006105E3">
              <w:t>r</w:t>
            </w:r>
            <w:r w:rsidRPr="006105E3">
              <w:t>tere bindingsperiode end 5 år. Hvis der skal være en fast kortere bi</w:t>
            </w:r>
            <w:r w:rsidRPr="006105E3">
              <w:t>n</w:t>
            </w:r>
            <w:r w:rsidRPr="006105E3">
              <w:t>dingsperiode, bør den sættes til min</w:t>
            </w:r>
            <w:r w:rsidRPr="006105E3">
              <w:t>i</w:t>
            </w:r>
            <w:r w:rsidRPr="006105E3">
              <w:t xml:space="preserve">mum et år. </w:t>
            </w:r>
          </w:p>
          <w:p w:rsidR="006105E3" w:rsidRDefault="006105E3" w:rsidP="001A1477">
            <w:pPr>
              <w:pStyle w:val="Tabel-BrdtekstmedafstandptekstGaramond"/>
            </w:pPr>
          </w:p>
          <w:p w:rsidR="00B63EED" w:rsidRDefault="00B63EED" w:rsidP="001A1477">
            <w:pPr>
              <w:pStyle w:val="Tabel-BrdtekstmedafstandptekstGaramond"/>
              <w:rPr>
                <w:u w:val="single"/>
              </w:rPr>
            </w:pPr>
            <w:r>
              <w:rPr>
                <w:u w:val="single"/>
              </w:rPr>
              <w:t>Trust</w:t>
            </w:r>
            <w:r w:rsidR="00287C6F">
              <w:rPr>
                <w:u w:val="single"/>
              </w:rPr>
              <w:t>s</w:t>
            </w:r>
          </w:p>
          <w:p w:rsidR="0047245C" w:rsidRDefault="00B63EED" w:rsidP="00B63EED">
            <w:pPr>
              <w:pStyle w:val="Tabel-BrdtekstmedafstandptekstGaramond"/>
            </w:pPr>
            <w:r>
              <w:t>DI anerkender, at trusts i praksis er blevet brugt (typisk af fysiske pers</w:t>
            </w:r>
            <w:r>
              <w:t>o</w:t>
            </w:r>
            <w:r>
              <w:t>ner) til i skattemæssig henseende at foregive, at en formue og indkomsten deraf ikke henhører til stifteren, men til trusten.</w:t>
            </w:r>
            <w:r w:rsidR="0047245C">
              <w:t xml:space="preserve"> </w:t>
            </w:r>
            <w:r>
              <w:t>Denne anvendelse af trusts er klart i strid med de gældende da</w:t>
            </w:r>
            <w:r>
              <w:t>n</w:t>
            </w:r>
            <w:r>
              <w:t xml:space="preserve">ske regler og praksis vedrørende trusts. </w:t>
            </w:r>
          </w:p>
          <w:p w:rsidR="0047245C" w:rsidRDefault="0047245C" w:rsidP="00B63EED">
            <w:pPr>
              <w:pStyle w:val="Tabel-BrdtekstmedafstandptekstGaramond"/>
            </w:pPr>
          </w:p>
          <w:p w:rsidR="00B63EED" w:rsidRDefault="00B63EED" w:rsidP="00B63EED">
            <w:pPr>
              <w:pStyle w:val="Tabel-BrdtekstmedafstandptekstGaramond"/>
            </w:pPr>
            <w:r>
              <w:t>Det er derfor efter DI’s opfattelse misvisende, når forslaget i indledni</w:t>
            </w:r>
            <w:r>
              <w:t>n</w:t>
            </w:r>
            <w:r>
              <w:t>gen til lovbemærkningerne angives at skulle mindske mulighederne for a</w:t>
            </w:r>
            <w:r>
              <w:t>g</w:t>
            </w:r>
            <w:r>
              <w:t>gressiv skatteplanlægning.</w:t>
            </w:r>
            <w:r w:rsidR="0047245C">
              <w:t xml:space="preserve"> </w:t>
            </w:r>
            <w:r>
              <w:t>Det for</w:t>
            </w:r>
            <w:r>
              <w:t>e</w:t>
            </w:r>
            <w:r>
              <w:t>slåede indgreb må derimod primært ses som udtryk for, at Skatteminister</w:t>
            </w:r>
            <w:r>
              <w:t>i</w:t>
            </w:r>
            <w:r>
              <w:t>et opgiver at kontrollere brugen af s</w:t>
            </w:r>
            <w:r>
              <w:t>å</w:t>
            </w:r>
            <w:r>
              <w:t>danne trusts og i stedet indfører en særregel, der som udgangspunkt skal underkende den skattemæssig</w:t>
            </w:r>
            <w:r w:rsidR="006105E3">
              <w:t>e</w:t>
            </w:r>
            <w:r>
              <w:t xml:space="preserve"> vir</w:t>
            </w:r>
            <w:r>
              <w:t>k</w:t>
            </w:r>
            <w:r>
              <w:t>ning af trusts.</w:t>
            </w:r>
          </w:p>
          <w:p w:rsidR="00B63EED" w:rsidRDefault="00B63EED" w:rsidP="00B63EED">
            <w:pPr>
              <w:pStyle w:val="Tabel-BrdtekstmedafstandptekstGaramond"/>
            </w:pPr>
          </w:p>
          <w:p w:rsidR="00C05FBA" w:rsidRDefault="00C05FBA" w:rsidP="00B63EED">
            <w:pPr>
              <w:pStyle w:val="Tabel-BrdtekstmedafstandptekstGaramond"/>
            </w:pPr>
          </w:p>
          <w:p w:rsidR="001A1477" w:rsidRDefault="00B63EED" w:rsidP="001A1477">
            <w:pPr>
              <w:pStyle w:val="Tabel-BrdtekstmedafstandptekstGaramond"/>
            </w:pPr>
            <w:r>
              <w:t>Personer, som hidtil har anvendt trusts</w:t>
            </w:r>
            <w:r w:rsidR="001A1477">
              <w:t>,</w:t>
            </w:r>
            <w:r>
              <w:t xml:space="preserve"> vurderes uden væsentlige va</w:t>
            </w:r>
            <w:r>
              <w:t>n</w:t>
            </w:r>
            <w:r>
              <w:t xml:space="preserve">skeligheder i stedet at kunne anvende andre juridiske enheder </w:t>
            </w:r>
            <w:r w:rsidR="001A1477">
              <w:t>fx ”str</w:t>
            </w:r>
            <w:r w:rsidR="001A1477">
              <w:t>å</w:t>
            </w:r>
            <w:r w:rsidR="001A1477">
              <w:t xml:space="preserve">mandskonstruktioner” mv </w:t>
            </w:r>
            <w:r>
              <w:t>med sa</w:t>
            </w:r>
            <w:r>
              <w:t>m</w:t>
            </w:r>
            <w:r>
              <w:t xml:space="preserve">me resultat. </w:t>
            </w:r>
            <w:r w:rsidR="001A1477">
              <w:t>I lyset af, at indgrebet i</w:t>
            </w:r>
            <w:r w:rsidR="001A1477">
              <w:t>k</w:t>
            </w:r>
            <w:r w:rsidR="001A1477">
              <w:lastRenderedPageBreak/>
              <w:t>ke reelt forhindrer ulovlig skatteun</w:t>
            </w:r>
            <w:r w:rsidR="001A1477">
              <w:t>d</w:t>
            </w:r>
            <w:r w:rsidR="001A1477">
              <w:t>dragelse ved anvendelse af udenlan</w:t>
            </w:r>
            <w:r w:rsidR="001A1477">
              <w:t>d</w:t>
            </w:r>
            <w:r w:rsidR="001A1477">
              <w:t>ske juridiske enheder, må det undre, at man skrider til så dramatisk et skridt, som at underkende den ska</w:t>
            </w:r>
            <w:r w:rsidR="001A1477">
              <w:t>t</w:t>
            </w:r>
            <w:r w:rsidR="001A1477">
              <w:t xml:space="preserve">temæssige virkning af en almindelig juridisk indretning, der er gængs i de fleste </w:t>
            </w:r>
            <w:proofErr w:type="spellStart"/>
            <w:r w:rsidR="001A1477">
              <w:t>common</w:t>
            </w:r>
            <w:proofErr w:type="spellEnd"/>
            <w:r w:rsidR="001A1477">
              <w:t xml:space="preserve"> </w:t>
            </w:r>
            <w:proofErr w:type="spellStart"/>
            <w:r w:rsidR="001A1477">
              <w:t>law</w:t>
            </w:r>
            <w:proofErr w:type="spellEnd"/>
            <w:r w:rsidR="001A1477">
              <w:t>-lande</w:t>
            </w:r>
            <w:r w:rsidR="00287C6F">
              <w:t>, herunder for</w:t>
            </w:r>
            <w:r w:rsidR="001A1477">
              <w:t xml:space="preserve"> fonde og andre lignende enheder</w:t>
            </w:r>
            <w:r w:rsidR="00287C6F">
              <w:t xml:space="preserve"> fx </w:t>
            </w:r>
            <w:proofErr w:type="spellStart"/>
            <w:r w:rsidR="00287C6F">
              <w:t>stiftungs</w:t>
            </w:r>
            <w:proofErr w:type="spellEnd"/>
            <w:r w:rsidR="00287C6F">
              <w:t xml:space="preserve"> og anstalten</w:t>
            </w:r>
            <w:r w:rsidR="001A1477">
              <w:t>.</w:t>
            </w:r>
          </w:p>
          <w:p w:rsidR="00B63EED" w:rsidRDefault="00B63EED" w:rsidP="00B63EED">
            <w:pPr>
              <w:pStyle w:val="Tabel-BrdtekstmedafstandptekstGaramond"/>
            </w:pPr>
          </w:p>
          <w:p w:rsidR="00B63EED" w:rsidRDefault="00B63EED" w:rsidP="00B63EED">
            <w:pPr>
              <w:pStyle w:val="Tabel-BrdtekstmedafstandptekstGaramond"/>
            </w:pPr>
            <w:r>
              <w:t>Det kan med fordel præciseres i b</w:t>
            </w:r>
            <w:r>
              <w:t>e</w:t>
            </w:r>
            <w:r>
              <w:t>mærkningerne, om forslaget til li</w:t>
            </w:r>
            <w:r>
              <w:t>g</w:t>
            </w:r>
            <w:r>
              <w:t>ningslovens § 16 K, stk. 8, skal forto</w:t>
            </w:r>
            <w:r>
              <w:t>l</w:t>
            </w:r>
            <w:r>
              <w:t>kes i overensstemmelse med hidtidig praksis.</w:t>
            </w:r>
          </w:p>
          <w:p w:rsidR="001A1477" w:rsidRDefault="001A1477" w:rsidP="00B63EED">
            <w:pPr>
              <w:pStyle w:val="Tabel-BrdtekstmedafstandptekstGaramond"/>
            </w:pPr>
          </w:p>
          <w:p w:rsidR="00B63EED" w:rsidRDefault="00B63EED" w:rsidP="00B63EED">
            <w:pPr>
              <w:pStyle w:val="Tabel-BrdtekstmedafstandptekstGaramond"/>
            </w:pPr>
          </w:p>
          <w:p w:rsidR="0011681B" w:rsidRDefault="0011681B" w:rsidP="00B63EED">
            <w:pPr>
              <w:pStyle w:val="Tabel-BrdtekstmedafstandptekstGaramond"/>
            </w:pPr>
          </w:p>
          <w:p w:rsidR="0011681B" w:rsidRDefault="0011681B" w:rsidP="00B63EED">
            <w:pPr>
              <w:pStyle w:val="Tabel-BrdtekstmedafstandptekstGaramond"/>
            </w:pPr>
          </w:p>
          <w:p w:rsidR="00B63EED" w:rsidRDefault="00B63EED" w:rsidP="00B63EED">
            <w:pPr>
              <w:pStyle w:val="Tabel-BrdtekstmedafstandptekstGaramond"/>
            </w:pPr>
            <w:r>
              <w:t xml:space="preserve">Det er DI’s opfattelse, at der kan være spørgsmål om EU-lovmedholdelighed af den foreslåede regel. Stiftere af og indskydere i trusts og visse fonde og andre lignende enheder (f.eks. </w:t>
            </w:r>
            <w:proofErr w:type="spellStart"/>
            <w:r>
              <w:t>stiftungs</w:t>
            </w:r>
            <w:proofErr w:type="spellEnd"/>
            <w:r>
              <w:t xml:space="preserve"> og anstalten), der ellers i skattemæssig henseende ville svare til danske fonde, kan således blive o</w:t>
            </w:r>
            <w:r>
              <w:t>m</w:t>
            </w:r>
            <w:r>
              <w:t>fattet af de foreslåede regler, som medføre</w:t>
            </w:r>
            <w:r w:rsidR="00287C6F">
              <w:t>r</w:t>
            </w:r>
            <w:r>
              <w:t xml:space="preserve"> hårdere beskatning, end hvis stiftere eller indskydere havde indskudt midler i en dansk fond. </w:t>
            </w:r>
          </w:p>
          <w:p w:rsidR="00B63EED" w:rsidRDefault="00B63EED" w:rsidP="00B63EED">
            <w:pPr>
              <w:pStyle w:val="Tabel-BrdtekstmedafstandptekstGaramond"/>
            </w:pPr>
          </w:p>
          <w:p w:rsidR="00277F16" w:rsidRDefault="00277F16" w:rsidP="00B63EED">
            <w:pPr>
              <w:pStyle w:val="Tabel-BrdtekstmedafstandptekstGaramond"/>
            </w:pPr>
          </w:p>
          <w:p w:rsidR="00277F16" w:rsidRDefault="00277F16" w:rsidP="00B63EED">
            <w:pPr>
              <w:pStyle w:val="Tabel-BrdtekstmedafstandptekstGaramond"/>
            </w:pPr>
          </w:p>
          <w:p w:rsidR="00DE4F79" w:rsidRDefault="00DE4F79" w:rsidP="00B63EED">
            <w:pPr>
              <w:pStyle w:val="Tabel-BrdtekstmedafstandptekstGaramond"/>
            </w:pPr>
          </w:p>
          <w:p w:rsidR="0011681B" w:rsidRDefault="0011681B" w:rsidP="00B63EED">
            <w:pPr>
              <w:pStyle w:val="Tabel-BrdtekstmedafstandptekstGaramond"/>
            </w:pPr>
          </w:p>
          <w:p w:rsidR="00B63EED" w:rsidRDefault="00B63EED" w:rsidP="00B63EED">
            <w:pPr>
              <w:pStyle w:val="Tabel-BrdtekstmedafstandptekstGaramond"/>
            </w:pPr>
            <w:r>
              <w:t>Ved at indføre endnu et tilfælde, hvor den skattemæssig kvalifikation vil v</w:t>
            </w:r>
            <w:r>
              <w:t>æ</w:t>
            </w:r>
            <w:r>
              <w:t>re forskellig i udlandet og i Danmark synes der med forslaget at være risiko for, at der kan opstå nye tilfælde af dobbelt beskatning.</w:t>
            </w:r>
          </w:p>
          <w:p w:rsidR="00B63EED" w:rsidRDefault="00B63EED" w:rsidP="00B63EED">
            <w:pPr>
              <w:pStyle w:val="Tabel-BrdtekstmedafstandptekstGaramond"/>
            </w:pPr>
          </w:p>
          <w:p w:rsidR="00277F16" w:rsidRDefault="00277F16" w:rsidP="00B63EED">
            <w:pPr>
              <w:pStyle w:val="Tabel-BrdtekstmedafstandptekstGaramond"/>
            </w:pPr>
          </w:p>
          <w:p w:rsidR="004E6C66" w:rsidRDefault="004E6C66" w:rsidP="00B63EED">
            <w:pPr>
              <w:pStyle w:val="Tabel-BrdtekstmedafstandptekstGaramond"/>
            </w:pPr>
          </w:p>
          <w:p w:rsidR="00B63EED" w:rsidRDefault="00B63EED" w:rsidP="00B63EED">
            <w:pPr>
              <w:pStyle w:val="Tabel-BrdtekstmedafstandptekstGaramond"/>
            </w:pPr>
            <w:r>
              <w:t>Det bemærkes, at udenlandske trusts mv. i praksis i et vist omfang anve</w:t>
            </w:r>
            <w:r>
              <w:t>n</w:t>
            </w:r>
            <w:r>
              <w:t>des af danske virksomheder.</w:t>
            </w:r>
          </w:p>
          <w:p w:rsidR="005471E8" w:rsidRDefault="005471E8" w:rsidP="00B63EED">
            <w:pPr>
              <w:pStyle w:val="Tabel-BrdtekstmedafstandptekstGaramond"/>
            </w:pPr>
          </w:p>
          <w:p w:rsidR="005471E8" w:rsidRDefault="005471E8" w:rsidP="00B63EED">
            <w:pPr>
              <w:pStyle w:val="Tabel-BrdtekstmedafstandptekstGaramond"/>
            </w:pPr>
          </w:p>
          <w:p w:rsidR="005471E8" w:rsidRDefault="005471E8" w:rsidP="00B63EED">
            <w:pPr>
              <w:pStyle w:val="Tabel-BrdtekstmedafstandptekstGaramond"/>
              <w:rPr>
                <w:u w:val="single"/>
              </w:rPr>
            </w:pPr>
            <w:r w:rsidRPr="005471E8">
              <w:rPr>
                <w:u w:val="single"/>
              </w:rPr>
              <w:t xml:space="preserve">DIAS </w:t>
            </w:r>
          </w:p>
          <w:p w:rsidR="005471E8" w:rsidRDefault="005471E8" w:rsidP="005471E8">
            <w:pPr>
              <w:pStyle w:val="Tabel-BrdtekstmedafstandptekstGaramond"/>
            </w:pPr>
            <w:r>
              <w:t>DI kvitterer for den foreslåede le</w:t>
            </w:r>
            <w:r>
              <w:t>m</w:t>
            </w:r>
            <w:r>
              <w:t>pelse af den gældende sanktion ved manglende registrering af underskud og kvitterer for den foreslåede udsk</w:t>
            </w:r>
            <w:r>
              <w:t>y</w:t>
            </w:r>
            <w:r>
              <w:t>delse af selvangivelsesfristen.</w:t>
            </w:r>
          </w:p>
          <w:p w:rsidR="005471E8" w:rsidRDefault="005471E8" w:rsidP="005471E8">
            <w:pPr>
              <w:pStyle w:val="Tabel-BrdtekstmedafstandptekstGaramond"/>
            </w:pPr>
          </w:p>
          <w:p w:rsidR="005471E8" w:rsidRDefault="005471E8" w:rsidP="006B174A">
            <w:pPr>
              <w:pStyle w:val="Tabel-BrdtekstmedafstandptekstGaramond"/>
            </w:pPr>
            <w:r>
              <w:t>For så vidt angår den foreslåede m</w:t>
            </w:r>
            <w:r>
              <w:t>u</w:t>
            </w:r>
            <w:r>
              <w:t>lighed for at undtage visse selskabst</w:t>
            </w:r>
            <w:r>
              <w:t>y</w:t>
            </w:r>
            <w:r>
              <w:t>per m.v. fra pligten til at registrere underskud, bemærker DI, at hensynet bag forslaget hovedsagligt synes at være</w:t>
            </w:r>
            <w:r w:rsidR="00D4436D">
              <w:t>,</w:t>
            </w:r>
            <w:r>
              <w:t xml:space="preserve"> </w:t>
            </w:r>
            <w:r w:rsidR="00D4436D">
              <w:t xml:space="preserve">at </w:t>
            </w:r>
            <w:r>
              <w:t>SKAT ikke kan eller vil u</w:t>
            </w:r>
            <w:r>
              <w:t>d</w:t>
            </w:r>
            <w:r>
              <w:t>vikle it-systemet.</w:t>
            </w:r>
            <w:r w:rsidR="006B174A">
              <w:t xml:space="preserve"> DI konstaterer sa</w:t>
            </w:r>
            <w:r w:rsidR="006B174A">
              <w:t>m</w:t>
            </w:r>
            <w:r w:rsidR="006B174A">
              <w:t>tidig, at forslaget bevarer status quo for de omhandlede selskaber.</w:t>
            </w:r>
          </w:p>
          <w:p w:rsidR="006B174A" w:rsidRDefault="006B174A" w:rsidP="006B174A">
            <w:pPr>
              <w:pStyle w:val="Tabel-BrdtekstmedafstandptekstGaramond"/>
            </w:pPr>
          </w:p>
          <w:p w:rsidR="006B174A" w:rsidRDefault="006B174A" w:rsidP="006B174A">
            <w:pPr>
              <w:pStyle w:val="Tabel-BrdtekstmedafstandptekstGaramond"/>
            </w:pPr>
          </w:p>
          <w:p w:rsidR="006B174A" w:rsidRDefault="006B174A" w:rsidP="006B174A">
            <w:pPr>
              <w:pStyle w:val="Tabel-BrdtekstmedafstandptekstGaramond"/>
            </w:pPr>
          </w:p>
          <w:p w:rsidR="006B174A" w:rsidRDefault="006B174A" w:rsidP="00BB1E99">
            <w:pPr>
              <w:pStyle w:val="Tabel-BrdtekstmedafstandptekstGaramond"/>
            </w:pPr>
            <w:r>
              <w:t>DI bemærker i relation til forsi</w:t>
            </w:r>
            <w:r w:rsidR="00BB1E99">
              <w:t xml:space="preserve">nkelsen af DIAS, </w:t>
            </w:r>
            <w:r>
              <w:t>at virksomhederne allerede har anvendt betydelige ressourcer på at forholde sig til de forventede ko</w:t>
            </w:r>
            <w:r>
              <w:t>n</w:t>
            </w:r>
            <w:r>
              <w:t>sekvenser af DIA</w:t>
            </w:r>
            <w:r w:rsidR="00BB1E99">
              <w:t>S. Det</w:t>
            </w:r>
            <w:r>
              <w:t xml:space="preserve"> er derfor uhensigtsmæssigt og ikke tilfredssti</w:t>
            </w:r>
            <w:r>
              <w:t>l</w:t>
            </w:r>
            <w:r>
              <w:t>lende, at SKAT og Skatteministeriet så sent erkender og informerer om</w:t>
            </w:r>
            <w:r w:rsidR="005778B2">
              <w:t>,</w:t>
            </w:r>
            <w:r>
              <w:t xml:space="preserve"> at man er nødt til at begrænse og forsi</w:t>
            </w:r>
            <w:r>
              <w:t>n</w:t>
            </w:r>
            <w:r>
              <w:t xml:space="preserve">ke anvendelsen af DIAS. </w:t>
            </w:r>
          </w:p>
          <w:p w:rsidR="00BB1E99" w:rsidRDefault="00BB1E99" w:rsidP="00BB1E99">
            <w:pPr>
              <w:pStyle w:val="Tabel-BrdtekstmedafstandptekstGaramond"/>
            </w:pPr>
          </w:p>
          <w:p w:rsidR="00BB1E99" w:rsidRDefault="00BB1E99" w:rsidP="00BB1E99">
            <w:pPr>
              <w:pStyle w:val="Tabel-BrdtekstmedafstandptekstGaramond"/>
            </w:pPr>
            <w:r>
              <w:t>For så vidt angår, at DIAS fremover alene vil komme med et forslag til underskudsanvendelse og i første omgang kun for selskaber, der ikke indgår i sambeskatning, bemærker DI, at der er tale om en væsentlig b</w:t>
            </w:r>
            <w:r>
              <w:t>e</w:t>
            </w:r>
            <w:r>
              <w:t xml:space="preserve">grænsning af systemet, som har stor </w:t>
            </w:r>
            <w:r>
              <w:lastRenderedPageBreak/>
              <w:t>betydning for erhvervslivet. Heru</w:t>
            </w:r>
            <w:r>
              <w:t>d</w:t>
            </w:r>
            <w:r>
              <w:t>over anser DI det for tankevækkende, at systemet alene vil komme med et forslag til selskabernes underskudsa</w:t>
            </w:r>
            <w:r>
              <w:t>n</w:t>
            </w:r>
            <w:r>
              <w:t>vendelse og tager det som udtryk for, at SKAT ikke kan stå inde for</w:t>
            </w:r>
            <w:r w:rsidR="000D09C8">
              <w:t>,</w:t>
            </w:r>
            <w:r>
              <w:t xml:space="preserve"> at s</w:t>
            </w:r>
            <w:r>
              <w:t>y</w:t>
            </w:r>
            <w:r>
              <w:t>stemet opgør de juridisk korrekte r</w:t>
            </w:r>
            <w:r>
              <w:t>e</w:t>
            </w:r>
            <w:r>
              <w:t>sultater.</w:t>
            </w:r>
          </w:p>
          <w:p w:rsidR="00BB1E99" w:rsidRDefault="00BB1E99" w:rsidP="00BB1E99">
            <w:pPr>
              <w:pStyle w:val="Tabel-BrdtekstmedafstandptekstGaramond"/>
            </w:pPr>
          </w:p>
          <w:p w:rsidR="00280FC1" w:rsidRDefault="00280FC1" w:rsidP="00BB1E99">
            <w:pPr>
              <w:pStyle w:val="Tabel-BrdtekstmedafstandptekstGaramond"/>
            </w:pPr>
          </w:p>
          <w:p w:rsidR="00280FC1" w:rsidRDefault="00280FC1" w:rsidP="00BB1E99">
            <w:pPr>
              <w:pStyle w:val="Tabel-BrdtekstmedafstandptekstGaramond"/>
            </w:pPr>
          </w:p>
          <w:p w:rsidR="00280FC1" w:rsidRDefault="00280FC1" w:rsidP="00BB1E99">
            <w:pPr>
              <w:pStyle w:val="Tabel-BrdtekstmedafstandptekstGaramond"/>
            </w:pPr>
          </w:p>
          <w:p w:rsidR="00DB17D4" w:rsidRDefault="00DB17D4" w:rsidP="00BB1E99">
            <w:pPr>
              <w:pStyle w:val="Tabel-BrdtekstmedafstandptekstGaramond"/>
            </w:pPr>
          </w:p>
          <w:p w:rsidR="00BB1E99" w:rsidRPr="00BB1E99" w:rsidRDefault="00BB1E99" w:rsidP="00BB1E99">
            <w:pPr>
              <w:pStyle w:val="Tabel-BrdtekstmedafstandptekstGaramond"/>
            </w:pPr>
            <w:r>
              <w:t>DI anfører</w:t>
            </w:r>
            <w:r w:rsidR="000D09C8">
              <w:t>,</w:t>
            </w:r>
            <w:r>
              <w:t xml:space="preserve"> at der synes at være grundlag for at forenkle reglerne for underskudsfremførsel, gerne </w:t>
            </w:r>
            <w:r w:rsidR="000D09C8">
              <w:t xml:space="preserve">således at </w:t>
            </w:r>
            <w:r>
              <w:t>underskud lettere og hurtigere kan anvendes.</w:t>
            </w:r>
          </w:p>
        </w:tc>
        <w:tc>
          <w:tcPr>
            <w:tcW w:w="112" w:type="dxa"/>
            <w:shd w:val="clear" w:color="auto" w:fill="FFFFFF" w:themeFill="background1"/>
          </w:tcPr>
          <w:p w:rsidR="007E1867" w:rsidRPr="00B5346F" w:rsidRDefault="007E1867" w:rsidP="001A1477"/>
        </w:tc>
        <w:tc>
          <w:tcPr>
            <w:tcW w:w="3665" w:type="dxa"/>
            <w:tcBorders>
              <w:top w:val="single" w:sz="4" w:space="0" w:color="14143C" w:themeColor="accent1"/>
              <w:bottom w:val="single" w:sz="4" w:space="0" w:color="14143C" w:themeColor="accent1"/>
            </w:tcBorders>
            <w:shd w:val="clear" w:color="auto" w:fill="D2CED8"/>
          </w:tcPr>
          <w:p w:rsidR="00907D11" w:rsidRDefault="00907D11" w:rsidP="001A1477">
            <w:pPr>
              <w:pStyle w:val="Tabel-BrdtekstmedafstandptekstGaramond"/>
            </w:pPr>
            <w:r>
              <w:t>Det er ikke acceptabelt, hvis/når der sker misbrug af skattereglerne. Dels medfører det et umiddelbart proven</w:t>
            </w:r>
            <w:r>
              <w:t>u</w:t>
            </w:r>
            <w:r>
              <w:t>tab for statskassen</w:t>
            </w:r>
            <w:r w:rsidR="006940AA">
              <w:t>,</w:t>
            </w:r>
            <w:r>
              <w:t xml:space="preserve"> og dels medfører det, at andre virksomheder konku</w:t>
            </w:r>
            <w:r>
              <w:t>r</w:t>
            </w:r>
            <w:r>
              <w:t xml:space="preserve">rencemæssigt stilles dårligere. </w:t>
            </w:r>
          </w:p>
          <w:p w:rsidR="00907D11" w:rsidRDefault="00907D11" w:rsidP="001A1477">
            <w:pPr>
              <w:pStyle w:val="Tabel-BrdtekstmedafstandptekstGaramond"/>
            </w:pPr>
          </w:p>
          <w:p w:rsidR="007E1867" w:rsidRDefault="00907D11" w:rsidP="001A1477">
            <w:pPr>
              <w:pStyle w:val="Tabel-BrdtekstmedafstandptekstGaramond"/>
            </w:pPr>
            <w:r>
              <w:t xml:space="preserve">Ved indgreb som dette tilstræbes det at målrette indgrebene mest muligt uden at fjerne deres effektivitet. </w:t>
            </w:r>
          </w:p>
          <w:p w:rsidR="006105E3" w:rsidRDefault="006105E3" w:rsidP="001A1477">
            <w:pPr>
              <w:pStyle w:val="Tabel-BrdtekstmedafstandptekstGaramond"/>
            </w:pPr>
          </w:p>
          <w:p w:rsidR="006105E3" w:rsidRDefault="006105E3" w:rsidP="001A1477">
            <w:pPr>
              <w:pStyle w:val="Tabel-BrdtekstmedafstandptekstGaramond"/>
            </w:pPr>
          </w:p>
          <w:p w:rsidR="006105E3" w:rsidRDefault="006105E3" w:rsidP="001A1477">
            <w:pPr>
              <w:pStyle w:val="Tabel-BrdtekstmedafstandptekstGaramond"/>
            </w:pPr>
          </w:p>
          <w:p w:rsidR="006105E3" w:rsidRDefault="007D2B7E" w:rsidP="001A1477">
            <w:pPr>
              <w:pStyle w:val="Tabel-BrdtekstmedafstandptekstGaramond"/>
            </w:pPr>
            <w:r>
              <w:t>Omgåelsesklausulen skal sikre, at skattepligtige ikke</w:t>
            </w:r>
            <w:r w:rsidR="00E63FCE">
              <w:t xml:space="preserve"> opnår uberettigede fordele efter</w:t>
            </w:r>
            <w:r>
              <w:t xml:space="preserve"> direktiverne</w:t>
            </w:r>
            <w:r w:rsidR="00E63FCE">
              <w:t>. Netop det forhold, at omgåelsesklausulen finder anvende</w:t>
            </w:r>
            <w:r w:rsidR="00A727F0">
              <w:t>l</w:t>
            </w:r>
            <w:r w:rsidR="00E63FCE">
              <w:t>s</w:t>
            </w:r>
            <w:r w:rsidR="00A727F0">
              <w:t>e</w:t>
            </w:r>
            <w:r w:rsidR="00E63FCE">
              <w:t xml:space="preserve"> med samme indhold, giver en større klarhed ved anvendelsen. </w:t>
            </w:r>
          </w:p>
          <w:p w:rsidR="00E63FCE" w:rsidRDefault="00E63FCE" w:rsidP="001A1477">
            <w:pPr>
              <w:pStyle w:val="Tabel-BrdtekstmedafstandptekstGaramond"/>
            </w:pPr>
          </w:p>
          <w:p w:rsidR="006105E3" w:rsidRDefault="006105E3" w:rsidP="001A1477">
            <w:pPr>
              <w:pStyle w:val="Tabel-BrdtekstmedafstandptekstGaramond"/>
            </w:pPr>
          </w:p>
          <w:p w:rsidR="007D2B7E" w:rsidRDefault="007D2B7E" w:rsidP="006105E3">
            <w:pPr>
              <w:pStyle w:val="Tabel-BrdtekstmedafstandptekstGaramond"/>
            </w:pPr>
          </w:p>
          <w:p w:rsidR="007D2B7E" w:rsidRDefault="007D2B7E" w:rsidP="006105E3">
            <w:pPr>
              <w:pStyle w:val="Tabel-BrdtekstmedafstandptekstGaramond"/>
            </w:pPr>
          </w:p>
          <w:p w:rsidR="000E4B19" w:rsidRDefault="000E4B19" w:rsidP="006105E3">
            <w:pPr>
              <w:pStyle w:val="Tabel-BrdtekstmedafstandptekstGaramond"/>
            </w:pPr>
          </w:p>
          <w:p w:rsidR="00DB7A0F" w:rsidRDefault="00DB7A0F" w:rsidP="006105E3">
            <w:pPr>
              <w:pStyle w:val="Tabel-BrdtekstmedafstandptekstGaramond"/>
            </w:pPr>
            <w:r>
              <w:t>Der henvises til kommentaren til A</w:t>
            </w:r>
            <w:r>
              <w:t>d</w:t>
            </w:r>
            <w:r>
              <w:t>vokatrådet.</w:t>
            </w:r>
          </w:p>
          <w:p w:rsidR="00DB7A0F" w:rsidRDefault="00DB7A0F" w:rsidP="006105E3">
            <w:pPr>
              <w:pStyle w:val="Tabel-BrdtekstmedafstandptekstGaramond"/>
            </w:pPr>
          </w:p>
          <w:p w:rsidR="00DB7A0F" w:rsidRDefault="00DB7A0F" w:rsidP="006105E3">
            <w:pPr>
              <w:pStyle w:val="Tabel-BrdtekstmedafstandptekstGaramond"/>
            </w:pPr>
          </w:p>
          <w:p w:rsidR="00DB7A0F" w:rsidRDefault="00DB7A0F" w:rsidP="006105E3">
            <w:pPr>
              <w:pStyle w:val="Tabel-BrdtekstmedafstandptekstGaramond"/>
            </w:pPr>
          </w:p>
          <w:p w:rsidR="00DB7A0F" w:rsidRDefault="00DB7A0F" w:rsidP="006105E3">
            <w:pPr>
              <w:pStyle w:val="Tabel-BrdtekstmedafstandptekstGaramond"/>
            </w:pPr>
          </w:p>
          <w:p w:rsidR="00DB7A0F" w:rsidRDefault="00DB7A0F" w:rsidP="006105E3">
            <w:pPr>
              <w:pStyle w:val="Tabel-BrdtekstmedafstandptekstGaramond"/>
            </w:pPr>
          </w:p>
          <w:p w:rsidR="00DB7A0F" w:rsidRDefault="005F536D" w:rsidP="006105E3">
            <w:pPr>
              <w:pStyle w:val="Tabel-BrdtekstmedafstandptekstGaramond"/>
            </w:pPr>
            <w:r>
              <w:t>Der henvises til kommentaren til A</w:t>
            </w:r>
            <w:r>
              <w:t>d</w:t>
            </w:r>
            <w:r>
              <w:t>vokatrådet.</w:t>
            </w:r>
          </w:p>
          <w:p w:rsidR="00DB7A0F" w:rsidRDefault="00DB7A0F" w:rsidP="006105E3">
            <w:pPr>
              <w:pStyle w:val="Tabel-BrdtekstmedafstandptekstGaramond"/>
            </w:pPr>
          </w:p>
          <w:p w:rsidR="00DB7A0F" w:rsidRDefault="00DB7A0F" w:rsidP="006105E3">
            <w:pPr>
              <w:pStyle w:val="Tabel-BrdtekstmedafstandptekstGaramond"/>
            </w:pPr>
          </w:p>
          <w:p w:rsidR="005F536D" w:rsidRDefault="005F536D" w:rsidP="006105E3">
            <w:pPr>
              <w:pStyle w:val="Tabel-BrdtekstmedafstandptekstGaramond"/>
            </w:pPr>
          </w:p>
          <w:p w:rsidR="005F536D" w:rsidRDefault="005F536D" w:rsidP="006105E3">
            <w:pPr>
              <w:pStyle w:val="Tabel-BrdtekstmedafstandptekstGaramond"/>
            </w:pPr>
          </w:p>
          <w:p w:rsidR="005F536D" w:rsidRDefault="005F536D" w:rsidP="006105E3">
            <w:pPr>
              <w:pStyle w:val="Tabel-BrdtekstmedafstandptekstGaramond"/>
            </w:pPr>
          </w:p>
          <w:p w:rsidR="00E63FCE" w:rsidRDefault="00E63FCE" w:rsidP="006105E3">
            <w:pPr>
              <w:pStyle w:val="Tabel-BrdtekstmedafstandptekstGaramond"/>
            </w:pPr>
          </w:p>
          <w:p w:rsidR="00E63FCE" w:rsidRDefault="00B738B8" w:rsidP="006105E3">
            <w:pPr>
              <w:pStyle w:val="Tabel-BrdtekstmedafstandptekstGaramond"/>
            </w:pPr>
            <w:r>
              <w:t>Dette er søgt begrænset mest muligt ved netop at anvende omgåelseskla</w:t>
            </w:r>
            <w:r>
              <w:t>u</w:t>
            </w:r>
            <w:r>
              <w:t>suler, der er baseret på internationalt vedtagne standarder.</w:t>
            </w:r>
          </w:p>
          <w:p w:rsidR="005F536D" w:rsidRDefault="005F536D" w:rsidP="006105E3">
            <w:pPr>
              <w:pStyle w:val="Tabel-BrdtekstmedafstandptekstGaramond"/>
            </w:pPr>
          </w:p>
          <w:p w:rsidR="00E63FCE" w:rsidRDefault="00E63FCE" w:rsidP="006105E3">
            <w:pPr>
              <w:pStyle w:val="Tabel-BrdtekstmedafstandptekstGaramond"/>
            </w:pPr>
          </w:p>
          <w:p w:rsidR="00E63FCE" w:rsidRDefault="00E63FCE" w:rsidP="006105E3">
            <w:pPr>
              <w:pStyle w:val="Tabel-BrdtekstmedafstandptekstGaramond"/>
            </w:pPr>
          </w:p>
          <w:p w:rsidR="005F536D" w:rsidRDefault="005F536D" w:rsidP="006105E3">
            <w:pPr>
              <w:pStyle w:val="Tabel-BrdtekstmedafstandptekstGaramond"/>
            </w:pPr>
          </w:p>
          <w:p w:rsidR="006105E3" w:rsidRPr="006105E3" w:rsidRDefault="006105E3" w:rsidP="006105E3">
            <w:pPr>
              <w:pStyle w:val="Tabel-BrdtekstmedafstandptekstGaramond"/>
            </w:pPr>
            <w:r w:rsidRPr="006105E3">
              <w:t>Med forslaget sker der en mindre u</w:t>
            </w:r>
            <w:r w:rsidRPr="006105E3">
              <w:t>d</w:t>
            </w:r>
            <w:r w:rsidRPr="006105E3">
              <w:t xml:space="preserve">bygning af det gældende regelsæt om bindende svar, således at det i forhold til bindende svar om et aktivs værdi bliver </w:t>
            </w:r>
            <w:r w:rsidR="006940AA">
              <w:t>præciseret</w:t>
            </w:r>
            <w:r w:rsidRPr="006105E3">
              <w:t xml:space="preserve">, hvad der kan føre til, at et afgivet bindende svar alligevel ikke er bindende. Det giver en større klarhed. Det er ikke forventningen, at </w:t>
            </w:r>
            <w:r w:rsidR="002022A6">
              <w:t>dette</w:t>
            </w:r>
            <w:r w:rsidRPr="006105E3">
              <w:t xml:space="preserve"> vil ændre på, at den klare hove</w:t>
            </w:r>
            <w:r w:rsidRPr="006105E3">
              <w:t>d</w:t>
            </w:r>
            <w:r w:rsidRPr="006105E3">
              <w:t xml:space="preserve">regel fortsat vil være, at et bindende svar er bindende.   </w:t>
            </w:r>
          </w:p>
          <w:p w:rsidR="006105E3" w:rsidRDefault="006105E3" w:rsidP="001A1477">
            <w:pPr>
              <w:pStyle w:val="Tabel-BrdtekstmedafstandptekstGaramond"/>
            </w:pPr>
          </w:p>
          <w:p w:rsidR="004A1D91" w:rsidRDefault="004A1D91" w:rsidP="001A1477">
            <w:pPr>
              <w:pStyle w:val="Tabel-BrdtekstmedafstandptekstGaramond"/>
            </w:pPr>
          </w:p>
          <w:p w:rsidR="006105E3" w:rsidRDefault="006105E3" w:rsidP="001A1477">
            <w:pPr>
              <w:pStyle w:val="Tabel-BrdtekstmedafstandptekstGaramond"/>
            </w:pPr>
          </w:p>
          <w:p w:rsidR="000E4B19" w:rsidRDefault="000E4B19" w:rsidP="001A1477">
            <w:pPr>
              <w:pStyle w:val="Tabel-BrdtekstmedafstandptekstGaramond"/>
            </w:pPr>
          </w:p>
          <w:p w:rsidR="006105E3" w:rsidRDefault="006105E3" w:rsidP="006105E3">
            <w:pPr>
              <w:pStyle w:val="Tabel-BrdtekstmedafstandptekstGaramond"/>
            </w:pPr>
            <w:r w:rsidRPr="006105E3">
              <w:t>Der henvises til kommentaren til A</w:t>
            </w:r>
            <w:r w:rsidRPr="006105E3">
              <w:t>d</w:t>
            </w:r>
            <w:r w:rsidRPr="006105E3">
              <w:t xml:space="preserve">vokatrådet. </w:t>
            </w:r>
          </w:p>
          <w:p w:rsidR="006105E3" w:rsidRDefault="006105E3" w:rsidP="006105E3">
            <w:pPr>
              <w:pStyle w:val="Tabel-BrdtekstmedafstandptekstGaramond"/>
            </w:pPr>
          </w:p>
          <w:p w:rsidR="006105E3" w:rsidRDefault="006105E3" w:rsidP="006105E3">
            <w:pPr>
              <w:pStyle w:val="Tabel-BrdtekstmedafstandptekstGaramond"/>
            </w:pPr>
          </w:p>
          <w:p w:rsidR="006105E3" w:rsidRDefault="006105E3" w:rsidP="006105E3">
            <w:pPr>
              <w:pStyle w:val="Tabel-BrdtekstmedafstandptekstGaramond"/>
            </w:pPr>
          </w:p>
          <w:p w:rsidR="006105E3" w:rsidRPr="006105E3" w:rsidRDefault="006105E3" w:rsidP="006105E3">
            <w:pPr>
              <w:pStyle w:val="Tabel-BrdtekstmedafstandptekstGaramond"/>
            </w:pPr>
          </w:p>
          <w:p w:rsidR="006105E3" w:rsidRDefault="006105E3" w:rsidP="006105E3">
            <w:pPr>
              <w:pStyle w:val="Tabel-BrdtekstmedafstandptekstGaramond"/>
            </w:pPr>
            <w:r w:rsidRPr="006105E3">
              <w:t>Efter forslaget skal værdiændringen mindst udgøre 1 mio. kr., idet der samtidig skal være tale om en ændring i forhold til værdien i det bindende svar på mindst 30 pct. Det er opfa</w:t>
            </w:r>
            <w:r w:rsidRPr="006105E3">
              <w:t>t</w:t>
            </w:r>
            <w:r w:rsidRPr="006105E3">
              <w:t>telsen, at der med denne kombination er opnået en rimelig balance i forhold til at sikre</w:t>
            </w:r>
            <w:r w:rsidR="002022A6">
              <w:t>, at relativt</w:t>
            </w:r>
            <w:r w:rsidRPr="006105E3">
              <w:t xml:space="preserve"> store værdiæ</w:t>
            </w:r>
            <w:r w:rsidRPr="006105E3">
              <w:t>n</w:t>
            </w:r>
            <w:r w:rsidRPr="006105E3">
              <w:t>dringer bliver omfattet uden dog sa</w:t>
            </w:r>
            <w:r w:rsidRPr="006105E3">
              <w:t>m</w:t>
            </w:r>
            <w:r w:rsidRPr="006105E3">
              <w:t>tidig at inddrage væsentlige værdiæ</w:t>
            </w:r>
            <w:r w:rsidRPr="006105E3">
              <w:t>n</w:t>
            </w:r>
            <w:r w:rsidRPr="006105E3">
              <w:lastRenderedPageBreak/>
              <w:t xml:space="preserve">dringer, der rent beløbsmæssigt er små.  </w:t>
            </w:r>
          </w:p>
          <w:p w:rsidR="006105E3" w:rsidRPr="006105E3" w:rsidRDefault="006105E3" w:rsidP="006105E3">
            <w:pPr>
              <w:pStyle w:val="Tabel-BrdtekstmedafstandptekstGaramond"/>
            </w:pPr>
          </w:p>
          <w:p w:rsidR="006105E3" w:rsidRPr="006105E3" w:rsidRDefault="006105E3" w:rsidP="006105E3">
            <w:pPr>
              <w:pStyle w:val="Tabel-BrdtekstmedafstandptekstGaramond"/>
            </w:pPr>
            <w:r w:rsidRPr="006105E3">
              <w:t>Da det er fast praksis, at bindende svar om et aktivs værdi alene gives med en bindingsperiode på seks m</w:t>
            </w:r>
            <w:r w:rsidRPr="006105E3">
              <w:t>å</w:t>
            </w:r>
            <w:r w:rsidRPr="006105E3">
              <w:t>neder, er vurderingen, at det med fo</w:t>
            </w:r>
            <w:r w:rsidRPr="006105E3">
              <w:t>r</w:t>
            </w:r>
            <w:r w:rsidRPr="006105E3">
              <w:t>del kan fremgå af selve loven. Der er ikke fundet grundlag for at ændre praksis og øge den maksimale bi</w:t>
            </w:r>
            <w:r w:rsidRPr="006105E3">
              <w:t>n</w:t>
            </w:r>
            <w:r w:rsidRPr="006105E3">
              <w:t xml:space="preserve">dingsperiode fra seks måneder til et år. </w:t>
            </w:r>
          </w:p>
          <w:p w:rsidR="006105E3" w:rsidRDefault="006105E3" w:rsidP="001A1477">
            <w:pPr>
              <w:pStyle w:val="Tabel-BrdtekstmedafstandptekstGaramond"/>
            </w:pPr>
          </w:p>
          <w:p w:rsidR="006105E3" w:rsidRDefault="006105E3" w:rsidP="001A1477">
            <w:pPr>
              <w:pStyle w:val="Tabel-BrdtekstmedafstandptekstGaramond"/>
            </w:pPr>
          </w:p>
          <w:p w:rsidR="006105E3" w:rsidRDefault="006105E3" w:rsidP="001A1477">
            <w:pPr>
              <w:pStyle w:val="Tabel-BrdtekstmedafstandptekstGaramond"/>
            </w:pPr>
          </w:p>
          <w:p w:rsidR="006105E3" w:rsidRDefault="006105E3" w:rsidP="001A1477">
            <w:pPr>
              <w:pStyle w:val="Tabel-BrdtekstmedafstandptekstGaramond"/>
            </w:pPr>
          </w:p>
          <w:p w:rsidR="009B7816" w:rsidRDefault="009B7816" w:rsidP="001A1477">
            <w:pPr>
              <w:pStyle w:val="Tabel-BrdtekstmedafstandptekstGaramond"/>
            </w:pPr>
          </w:p>
          <w:p w:rsidR="009B7816" w:rsidRDefault="009B7816" w:rsidP="001A1477">
            <w:pPr>
              <w:pStyle w:val="Tabel-BrdtekstmedafstandptekstGaramond"/>
            </w:pPr>
          </w:p>
          <w:p w:rsidR="009B7816" w:rsidRDefault="009B7816" w:rsidP="001A1477">
            <w:pPr>
              <w:pStyle w:val="Tabel-BrdtekstmedafstandptekstGaramond"/>
            </w:pPr>
          </w:p>
          <w:p w:rsidR="009B7816" w:rsidRDefault="009B7816" w:rsidP="001A1477">
            <w:pPr>
              <w:pStyle w:val="Tabel-BrdtekstmedafstandptekstGaramond"/>
            </w:pPr>
          </w:p>
          <w:p w:rsidR="009B7816" w:rsidRDefault="009B7816" w:rsidP="001A1477">
            <w:pPr>
              <w:pStyle w:val="Tabel-BrdtekstmedafstandptekstGaramond"/>
            </w:pPr>
          </w:p>
          <w:p w:rsidR="009B7816" w:rsidRDefault="009B7816" w:rsidP="001A1477">
            <w:pPr>
              <w:pStyle w:val="Tabel-BrdtekstmedafstandptekstGaramond"/>
            </w:pPr>
          </w:p>
          <w:p w:rsidR="009B7816" w:rsidRDefault="009B7816" w:rsidP="001A1477">
            <w:pPr>
              <w:pStyle w:val="Tabel-BrdtekstmedafstandptekstGaramond"/>
            </w:pPr>
          </w:p>
          <w:p w:rsidR="009B7816" w:rsidRDefault="009B7816" w:rsidP="001A1477">
            <w:pPr>
              <w:pStyle w:val="Tabel-BrdtekstmedafstandptekstGaramond"/>
            </w:pPr>
          </w:p>
          <w:p w:rsidR="009B7816" w:rsidRDefault="009B7816" w:rsidP="0047245C">
            <w:pPr>
              <w:pStyle w:val="Tabel-BrdtekstmedafstandptekstGaramond"/>
            </w:pPr>
            <w:r>
              <w:t>En væsentlig del i bekæmpelse af a</w:t>
            </w:r>
            <w:r>
              <w:t>g</w:t>
            </w:r>
            <w:r>
              <w:t>gressiv skatteplanlægning og skatt</w:t>
            </w:r>
            <w:r>
              <w:t>e</w:t>
            </w:r>
            <w:r>
              <w:t>unddragelse er håndhævelse af regle</w:t>
            </w:r>
            <w:r>
              <w:t>r</w:t>
            </w:r>
            <w:r>
              <w:t>ne. De nuværende regler vedrørende trusts er meget vanskelige/umulige at håndhæve, idet det ikke er muligt at kontrollere</w:t>
            </w:r>
            <w:r w:rsidR="00BB4D98">
              <w:t>,</w:t>
            </w:r>
            <w:r w:rsidR="0047245C">
              <w:t xml:space="preserve"> om der er sket endeligt og uigenkaldeligt afkald på formuen. Lovforslaget vil medføre, at reglerne blive administrerbare, hvorved a</w:t>
            </w:r>
            <w:r w:rsidR="0047245C">
              <w:t>g</w:t>
            </w:r>
            <w:r w:rsidR="0047245C">
              <w:t>gressiv skatteplanlæ</w:t>
            </w:r>
            <w:r w:rsidR="0047245C">
              <w:t>g</w:t>
            </w:r>
            <w:r w:rsidR="0047245C">
              <w:t>ning/skatteunddragelse kan bekæ</w:t>
            </w:r>
            <w:r w:rsidR="0047245C">
              <w:t>m</w:t>
            </w:r>
            <w:r w:rsidR="0047245C">
              <w:t xml:space="preserve">pes. </w:t>
            </w:r>
          </w:p>
          <w:p w:rsidR="0047245C" w:rsidRDefault="0047245C" w:rsidP="0047245C">
            <w:pPr>
              <w:pStyle w:val="Tabel-BrdtekstmedafstandptekstGaramond"/>
            </w:pPr>
          </w:p>
          <w:p w:rsidR="001A1477" w:rsidRDefault="0047245C" w:rsidP="0047245C">
            <w:pPr>
              <w:pStyle w:val="Tabel-BrdtekstmedafstandptekstGaramond"/>
            </w:pPr>
            <w:r>
              <w:t>Lovforslaget vil også have virkning for fonde og andre lignende juridiske enh</w:t>
            </w:r>
            <w:r w:rsidR="00365201">
              <w:t xml:space="preserve">eder, hvor der ikke findes et </w:t>
            </w:r>
            <w:r>
              <w:t>krav</w:t>
            </w:r>
            <w:r w:rsidR="00365201">
              <w:t xml:space="preserve"> i lovgivningen</w:t>
            </w:r>
            <w:r w:rsidR="0011681B">
              <w:t>, rets</w:t>
            </w:r>
            <w:r w:rsidR="00365201">
              <w:t>praksis</w:t>
            </w:r>
            <w:r>
              <w:t xml:space="preserve"> </w:t>
            </w:r>
            <w:r w:rsidR="0011681B">
              <w:t>eller admin</w:t>
            </w:r>
            <w:r w:rsidR="0011681B">
              <w:t>i</w:t>
            </w:r>
            <w:r w:rsidR="0011681B">
              <w:t xml:space="preserve">strativ praksis </w:t>
            </w:r>
            <w:r>
              <w:t xml:space="preserve">om, at formuen </w:t>
            </w:r>
            <w:r w:rsidR="0011681B">
              <w:t xml:space="preserve">skal være </w:t>
            </w:r>
            <w:r>
              <w:t>endeligt og uigenkaldeligt u</w:t>
            </w:r>
            <w:r>
              <w:t>d</w:t>
            </w:r>
            <w:r>
              <w:lastRenderedPageBreak/>
              <w:t>skilt. Skatteministeriet hører gerne fra DI, hvis der er andre juridiske enh</w:t>
            </w:r>
            <w:r>
              <w:t>e</w:t>
            </w:r>
            <w:r>
              <w:t>der, der burde omfattes af lovforsl</w:t>
            </w:r>
            <w:r>
              <w:t>a</w:t>
            </w:r>
            <w:r>
              <w:t>get.</w:t>
            </w:r>
          </w:p>
          <w:p w:rsidR="001A1477" w:rsidRDefault="001A1477" w:rsidP="0047245C">
            <w:pPr>
              <w:pStyle w:val="Tabel-BrdtekstmedafstandptekstGaramond"/>
            </w:pPr>
          </w:p>
          <w:p w:rsidR="001A1477" w:rsidRDefault="001A1477" w:rsidP="0047245C">
            <w:pPr>
              <w:pStyle w:val="Tabel-BrdtekstmedafstandptekstGaramond"/>
            </w:pPr>
          </w:p>
          <w:p w:rsidR="001A1477" w:rsidRDefault="001A1477" w:rsidP="0047245C">
            <w:pPr>
              <w:pStyle w:val="Tabel-BrdtekstmedafstandptekstGaramond"/>
            </w:pPr>
          </w:p>
          <w:p w:rsidR="001A1477" w:rsidRDefault="001A1477" w:rsidP="0047245C">
            <w:pPr>
              <w:pStyle w:val="Tabel-BrdtekstmedafstandptekstGaramond"/>
            </w:pPr>
          </w:p>
          <w:p w:rsidR="001A1477" w:rsidRDefault="001A1477" w:rsidP="0047245C">
            <w:pPr>
              <w:pStyle w:val="Tabel-BrdtekstmedafstandptekstGaramond"/>
            </w:pPr>
          </w:p>
          <w:p w:rsidR="001A1477" w:rsidRDefault="001A1477" w:rsidP="0047245C">
            <w:pPr>
              <w:pStyle w:val="Tabel-BrdtekstmedafstandptekstGaramond"/>
            </w:pPr>
          </w:p>
          <w:p w:rsidR="001A1477" w:rsidRDefault="001A1477" w:rsidP="0047245C">
            <w:pPr>
              <w:pStyle w:val="Tabel-BrdtekstmedafstandptekstGaramond"/>
            </w:pPr>
          </w:p>
          <w:p w:rsidR="0047245C" w:rsidRDefault="001A1477" w:rsidP="0047245C">
            <w:pPr>
              <w:pStyle w:val="Tabel-BrdtekstmedafstandptekstGaramond"/>
            </w:pPr>
            <w:r>
              <w:t>Forståelsen af endeligt og uigenkald</w:t>
            </w:r>
            <w:r>
              <w:t>e</w:t>
            </w:r>
            <w:r>
              <w:t>ligt afkald skal følge den hidtidige praksis.</w:t>
            </w:r>
            <w:r w:rsidR="0047245C">
              <w:t xml:space="preserve"> </w:t>
            </w:r>
            <w:r>
              <w:t>Derimod indeholder den n</w:t>
            </w:r>
            <w:r>
              <w:t>u</w:t>
            </w:r>
            <w:r>
              <w:t>værende praksis ikke</w:t>
            </w:r>
            <w:r w:rsidR="00287C6F">
              <w:t xml:space="preserve"> en</w:t>
            </w:r>
            <w:r>
              <w:t xml:space="preserve"> fortolkning af, om </w:t>
            </w:r>
            <w:r w:rsidR="0011681B">
              <w:t>der findes en ufravigelig gy</w:t>
            </w:r>
            <w:r w:rsidR="0011681B">
              <w:t>l</w:t>
            </w:r>
            <w:r w:rsidR="0011681B">
              <w:t>dighedsbetingelse for enheden, der</w:t>
            </w:r>
            <w:r>
              <w:t xml:space="preserve"> kræver endeligt og uigenkaldeligt a</w:t>
            </w:r>
            <w:r>
              <w:t>f</w:t>
            </w:r>
            <w:r>
              <w:t>kald på formuen.</w:t>
            </w:r>
          </w:p>
          <w:p w:rsidR="001A1477" w:rsidRDefault="001A1477" w:rsidP="0047245C">
            <w:pPr>
              <w:pStyle w:val="Tabel-BrdtekstmedafstandptekstGaramond"/>
            </w:pPr>
          </w:p>
          <w:p w:rsidR="001A1477" w:rsidRDefault="001A1477" w:rsidP="001A1477">
            <w:pPr>
              <w:pStyle w:val="Tabel-BrdtekstmedafstandptekstGaramond"/>
            </w:pPr>
            <w:r>
              <w:t>En trust adskiller sig grundlæggende fra en fond ved hverken at være sel</w:t>
            </w:r>
            <w:r>
              <w:t>v</w:t>
            </w:r>
            <w:r>
              <w:t xml:space="preserve">ejende eller en juridisk person. Der er en udstrakt grad af kontraktfrihed </w:t>
            </w:r>
            <w:proofErr w:type="spellStart"/>
            <w:r>
              <w:t>fsva</w:t>
            </w:r>
            <w:proofErr w:type="spellEnd"/>
            <w:r>
              <w:t>. trusts. En dansk fond er de</w:t>
            </w:r>
            <w:r>
              <w:t>r</w:t>
            </w:r>
            <w:r>
              <w:t xml:space="preserve">imod en selvstændig juridisk person, der er underlagt offentligt tilsyn, og det </w:t>
            </w:r>
            <w:r w:rsidR="0011681B">
              <w:t xml:space="preserve">er en </w:t>
            </w:r>
            <w:r w:rsidR="00EA5717">
              <w:t xml:space="preserve">ufravigelig </w:t>
            </w:r>
            <w:r w:rsidR="0011681B">
              <w:t>gyldighedsbeti</w:t>
            </w:r>
            <w:r w:rsidR="0011681B">
              <w:t>n</w:t>
            </w:r>
            <w:r w:rsidR="0011681B">
              <w:t xml:space="preserve">gelse, at </w:t>
            </w:r>
            <w:r>
              <w:t xml:space="preserve">formuen </w:t>
            </w:r>
            <w:r w:rsidR="0011681B">
              <w:t>er</w:t>
            </w:r>
            <w:r>
              <w:t xml:space="preserve"> uigenkaldeligt og endeligt adskilt fra stifteren. En dansk fond er derfor ikke sammenlignelig med en trust</w:t>
            </w:r>
            <w:r w:rsidR="00277F16">
              <w:t xml:space="preserve"> eller med en fond mv., hvor </w:t>
            </w:r>
            <w:r w:rsidR="0011681B">
              <w:t>der</w:t>
            </w:r>
            <w:r w:rsidR="00277F16">
              <w:t xml:space="preserve"> ikke </w:t>
            </w:r>
            <w:r w:rsidR="0011681B">
              <w:t>er en sådan gyldighed</w:t>
            </w:r>
            <w:r w:rsidR="0011681B">
              <w:t>s</w:t>
            </w:r>
            <w:r w:rsidR="0011681B">
              <w:t>betingelse.</w:t>
            </w:r>
            <w:r w:rsidR="00277F16">
              <w:t xml:space="preserve"> L</w:t>
            </w:r>
            <w:r>
              <w:t xml:space="preserve">ovforslaget vurderes </w:t>
            </w:r>
            <w:r w:rsidR="0011681B">
              <w:t xml:space="preserve">på denne baggrund </w:t>
            </w:r>
            <w:r>
              <w:t>at være i overen</w:t>
            </w:r>
            <w:r>
              <w:t>s</w:t>
            </w:r>
            <w:r>
              <w:t>stemmelse med EU-retten.</w:t>
            </w:r>
          </w:p>
          <w:p w:rsidR="001A1477" w:rsidRDefault="001A1477" w:rsidP="0047245C">
            <w:pPr>
              <w:pStyle w:val="Tabel-BrdtekstmedafstandptekstGaramond"/>
            </w:pPr>
          </w:p>
          <w:p w:rsidR="001A1477" w:rsidRDefault="00277F16" w:rsidP="0047245C">
            <w:pPr>
              <w:pStyle w:val="Tabel-BrdtekstmedafstandptekstGaramond"/>
            </w:pPr>
            <w:r>
              <w:t>Der gives nedslag for trustens danske og udenlandske skatter.</w:t>
            </w:r>
          </w:p>
          <w:p w:rsidR="00277F16" w:rsidRDefault="00277F16" w:rsidP="0047245C">
            <w:pPr>
              <w:pStyle w:val="Tabel-BrdtekstmedafstandptekstGaramond"/>
            </w:pPr>
          </w:p>
          <w:p w:rsidR="00277F16" w:rsidRDefault="00277F16" w:rsidP="0047245C">
            <w:pPr>
              <w:pStyle w:val="Tabel-BrdtekstmedafstandptekstGaramond"/>
            </w:pPr>
            <w:r>
              <w:t>Det skal i øvrigt bemærkes, at der i</w:t>
            </w:r>
            <w:r>
              <w:t>k</w:t>
            </w:r>
            <w:r>
              <w:t>ke ændres på den skattemæssige kval</w:t>
            </w:r>
            <w:r>
              <w:t>i</w:t>
            </w:r>
            <w:r>
              <w:t>fikation af trusten. Der indføres de</w:t>
            </w:r>
            <w:r>
              <w:t>r</w:t>
            </w:r>
            <w:r>
              <w:t xml:space="preserve">imod en CFC lignende beskatning af </w:t>
            </w:r>
            <w:r>
              <w:lastRenderedPageBreak/>
              <w:t>stifteren.</w:t>
            </w:r>
          </w:p>
          <w:p w:rsidR="0047245C" w:rsidRDefault="0047245C" w:rsidP="0047245C">
            <w:pPr>
              <w:pStyle w:val="Tabel-BrdtekstmedafstandptekstGaramond"/>
            </w:pPr>
          </w:p>
          <w:p w:rsidR="0047245C" w:rsidRDefault="00277F16" w:rsidP="0047245C">
            <w:pPr>
              <w:pStyle w:val="Tabel-BrdtekstmedafstandptekstGaramond"/>
            </w:pPr>
            <w:r>
              <w:t xml:space="preserve">Lovforslaget </w:t>
            </w:r>
            <w:r w:rsidR="0045136B">
              <w:t>finde</w:t>
            </w:r>
            <w:r>
              <w:t>r ikke umiddelbart anvendelse for danske selskaber, medmindre de kontrolleres af en fuldt skattepligtig fysisk person.</w:t>
            </w:r>
          </w:p>
          <w:p w:rsidR="0047245C" w:rsidRDefault="0047245C" w:rsidP="0047245C">
            <w:pPr>
              <w:pStyle w:val="Tabel-BrdtekstmedafstandptekstGaramond"/>
            </w:pPr>
          </w:p>
          <w:p w:rsidR="005471E8" w:rsidRDefault="005471E8" w:rsidP="0047245C">
            <w:pPr>
              <w:pStyle w:val="Tabel-BrdtekstmedafstandptekstGaramond"/>
            </w:pPr>
          </w:p>
          <w:p w:rsidR="005471E8" w:rsidRDefault="005471E8" w:rsidP="0047245C">
            <w:pPr>
              <w:pStyle w:val="Tabel-BrdtekstmedafstandptekstGaramond"/>
            </w:pPr>
          </w:p>
          <w:p w:rsidR="005471E8" w:rsidRDefault="005471E8" w:rsidP="0047245C">
            <w:pPr>
              <w:pStyle w:val="Tabel-BrdtekstmedafstandptekstGaramond"/>
            </w:pPr>
          </w:p>
          <w:p w:rsidR="005471E8" w:rsidRDefault="005471E8" w:rsidP="0047245C">
            <w:pPr>
              <w:pStyle w:val="Tabel-BrdtekstmedafstandptekstGaramond"/>
            </w:pPr>
          </w:p>
          <w:p w:rsidR="005471E8" w:rsidRDefault="005471E8" w:rsidP="0047245C">
            <w:pPr>
              <w:pStyle w:val="Tabel-BrdtekstmedafstandptekstGaramond"/>
            </w:pPr>
          </w:p>
          <w:p w:rsidR="005471E8" w:rsidRDefault="005471E8" w:rsidP="0047245C">
            <w:pPr>
              <w:pStyle w:val="Tabel-BrdtekstmedafstandptekstGaramond"/>
            </w:pPr>
          </w:p>
          <w:p w:rsidR="005471E8" w:rsidRDefault="005471E8" w:rsidP="0047245C">
            <w:pPr>
              <w:pStyle w:val="Tabel-BrdtekstmedafstandptekstGaramond"/>
            </w:pPr>
          </w:p>
          <w:p w:rsidR="005471E8" w:rsidRDefault="005471E8" w:rsidP="006B174A">
            <w:pPr>
              <w:pStyle w:val="Tabel-BrdtekstmedafstandptekstGaramond"/>
            </w:pPr>
            <w:r>
              <w:t>Som det anføres i bemærkningerne til lovforslaget</w:t>
            </w:r>
            <w:r w:rsidR="00D4436D">
              <w:t>,</w:t>
            </w:r>
            <w:r>
              <w:t xml:space="preserve"> </w:t>
            </w:r>
            <w:r w:rsidR="006B174A">
              <w:t>tænkes bemyndigelsen udnyttet til fx at fritage selskaber</w:t>
            </w:r>
            <w:r w:rsidR="00BE2B84">
              <w:t>,</w:t>
            </w:r>
            <w:r w:rsidR="006B174A">
              <w:t xml:space="preserve"> som alene er skattepligtige af tilknyttet virksomhed efter kulbrinteskattel</w:t>
            </w:r>
            <w:r w:rsidR="006B174A">
              <w:t>o</w:t>
            </w:r>
            <w:r w:rsidR="006B174A">
              <w:t>ven. Disse selskabstyper håndteres i</w:t>
            </w:r>
            <w:r w:rsidR="006B174A">
              <w:t>k</w:t>
            </w:r>
            <w:r w:rsidR="006B174A">
              <w:t>ke i dag af SKATs selskabsskattes</w:t>
            </w:r>
            <w:r w:rsidR="006B174A">
              <w:t>y</w:t>
            </w:r>
            <w:r w:rsidR="006B174A">
              <w:t>stem, pga. kompleksiteten. At inddr</w:t>
            </w:r>
            <w:r w:rsidR="006B174A">
              <w:t>a</w:t>
            </w:r>
            <w:r w:rsidR="006B174A">
              <w:t>ge disse selskabstyper i DIAS vil sål</w:t>
            </w:r>
            <w:r w:rsidR="006B174A">
              <w:t>e</w:t>
            </w:r>
            <w:r w:rsidR="006B174A">
              <w:t>des medføre betydelige udvikling</w:t>
            </w:r>
            <w:r w:rsidR="006B174A">
              <w:t>s</w:t>
            </w:r>
            <w:r w:rsidR="006B174A">
              <w:t xml:space="preserve">omkostninger. </w:t>
            </w:r>
          </w:p>
          <w:p w:rsidR="005778B2" w:rsidRDefault="005778B2" w:rsidP="006B174A">
            <w:pPr>
              <w:pStyle w:val="Tabel-BrdtekstmedafstandptekstGaramond"/>
            </w:pPr>
          </w:p>
          <w:p w:rsidR="005778B2" w:rsidRDefault="005778B2" w:rsidP="005778B2">
            <w:pPr>
              <w:pStyle w:val="Tabel-BrdtekstmedafstandptekstGaramond"/>
            </w:pPr>
            <w:r>
              <w:t>Udvikling af IT-systemer er komplic</w:t>
            </w:r>
            <w:r>
              <w:t>e</w:t>
            </w:r>
            <w:r>
              <w:t>ret, og udviklingen af DIAS har nø</w:t>
            </w:r>
            <w:r>
              <w:t>d</w:t>
            </w:r>
            <w:r>
              <w:t>vendiggjort en række tilpasninger i forhold til den oprindelige løsning. De foreslåede lovændringer er netop en konsekvens af ønsket om - så hu</w:t>
            </w:r>
            <w:r>
              <w:t>r</w:t>
            </w:r>
            <w:r>
              <w:t>tigt som muligt - at reagere på forsi</w:t>
            </w:r>
            <w:r>
              <w:t>n</w:t>
            </w:r>
            <w:r>
              <w:t xml:space="preserve">kelsen og dermed sikre, at </w:t>
            </w:r>
            <w:r w:rsidR="00C52C2E">
              <w:t xml:space="preserve">der i videst muligt omfang tages hensyn til </w:t>
            </w:r>
            <w:r>
              <w:t>se</w:t>
            </w:r>
            <w:r>
              <w:t>l</w:t>
            </w:r>
            <w:r>
              <w:t>skaberne</w:t>
            </w:r>
            <w:r w:rsidR="00D4436D">
              <w:t>s</w:t>
            </w:r>
            <w:r>
              <w:t xml:space="preserve"> </w:t>
            </w:r>
            <w:r w:rsidR="00C52C2E">
              <w:t>forhold.</w:t>
            </w:r>
          </w:p>
          <w:p w:rsidR="005778B2" w:rsidRDefault="005778B2" w:rsidP="005778B2">
            <w:pPr>
              <w:pStyle w:val="Tabel-BrdtekstmedafstandptekstGaramond"/>
            </w:pPr>
          </w:p>
          <w:p w:rsidR="008452B0" w:rsidRDefault="00C52C2E" w:rsidP="00D7331B">
            <w:pPr>
              <w:pStyle w:val="Tabel-BrdtekstmedafstandptekstGaramond"/>
            </w:pPr>
            <w:r>
              <w:t>Når beregningsløsningen i første o</w:t>
            </w:r>
            <w:r>
              <w:t>m</w:t>
            </w:r>
            <w:r>
              <w:t>gang er rettet mod selskaber, som i</w:t>
            </w:r>
            <w:r>
              <w:t>k</w:t>
            </w:r>
            <w:r>
              <w:t>ke er sambeskattede, skyldes det et ønske om at give tid til</w:t>
            </w:r>
            <w:r w:rsidR="00D7331B">
              <w:t>,</w:t>
            </w:r>
            <w:r>
              <w:t xml:space="preserve"> at der kan udvikles en</w:t>
            </w:r>
            <w:r w:rsidR="00D7331B">
              <w:t xml:space="preserve"> driftssikker løsning.</w:t>
            </w:r>
            <w:r>
              <w:t xml:space="preserve"> </w:t>
            </w:r>
            <w:r w:rsidR="00D7331B">
              <w:t>Sid</w:t>
            </w:r>
            <w:r w:rsidR="00D7331B">
              <w:t>e</w:t>
            </w:r>
            <w:r w:rsidR="00D7331B">
              <w:t xml:space="preserve">løbende med udviklingen af DIAS vurderes det, i hvilket omfang der kan </w:t>
            </w:r>
            <w:r w:rsidR="00D7331B">
              <w:lastRenderedPageBreak/>
              <w:t>udvikles en løsning for sambeskattede selskaber.</w:t>
            </w:r>
            <w:r>
              <w:t xml:space="preserve"> </w:t>
            </w:r>
            <w:r w:rsidR="000D09C8">
              <w:t>Det medgives, at unde</w:t>
            </w:r>
            <w:r w:rsidR="000D09C8">
              <w:t>r</w:t>
            </w:r>
            <w:r w:rsidR="000D09C8">
              <w:t>skudsberegningsreglerne er komplic</w:t>
            </w:r>
            <w:r w:rsidR="000D09C8">
              <w:t>e</w:t>
            </w:r>
            <w:r w:rsidR="000D09C8">
              <w:t xml:space="preserve">rede. </w:t>
            </w:r>
            <w:r w:rsidR="00D7331B">
              <w:t>At beregningsløsningen fre</w:t>
            </w:r>
            <w:r w:rsidR="00D7331B">
              <w:t>m</w:t>
            </w:r>
            <w:r w:rsidR="00D7331B">
              <w:t>over vil være</w:t>
            </w:r>
            <w:r w:rsidR="00280FC1">
              <w:t xml:space="preserve"> et forslag til selskaberne</w:t>
            </w:r>
            <w:r w:rsidR="00DB17D4">
              <w:t>,</w:t>
            </w:r>
            <w:r w:rsidR="00D7331B">
              <w:t xml:space="preserve"> er netop båret af hensynet til sels</w:t>
            </w:r>
            <w:r w:rsidR="000D09C8">
              <w:t>k</w:t>
            </w:r>
            <w:r w:rsidR="000D09C8">
              <w:t>a</w:t>
            </w:r>
            <w:r w:rsidR="000D09C8">
              <w:t>berne</w:t>
            </w:r>
            <w:r w:rsidR="00DB17D4">
              <w:t xml:space="preserve">, idet denne løsning </w:t>
            </w:r>
            <w:r w:rsidR="000D09C8">
              <w:t>gør det le</w:t>
            </w:r>
            <w:r w:rsidR="000D09C8">
              <w:t>t</w:t>
            </w:r>
            <w:r w:rsidR="000D09C8">
              <w:t>tere for selskaberne at ændre i unde</w:t>
            </w:r>
            <w:r w:rsidR="000D09C8">
              <w:t>r</w:t>
            </w:r>
            <w:r w:rsidR="000D09C8">
              <w:t xml:space="preserve">skudsanvendelsen og -fordelingen, hvis </w:t>
            </w:r>
            <w:r w:rsidR="008452B0">
              <w:t>systemet beregner en unde</w:t>
            </w:r>
            <w:r w:rsidR="008452B0">
              <w:t>r</w:t>
            </w:r>
            <w:r w:rsidR="008452B0">
              <w:t>skudsanvendelse og -fordeling, som selskaberne ikke er enige i.</w:t>
            </w:r>
          </w:p>
          <w:p w:rsidR="00DB17D4" w:rsidRDefault="008452B0" w:rsidP="00D7331B">
            <w:pPr>
              <w:pStyle w:val="Tabel-BrdtekstmedafstandptekstGaramond"/>
            </w:pPr>
            <w:r>
              <w:t xml:space="preserve"> </w:t>
            </w:r>
          </w:p>
          <w:p w:rsidR="00DB17D4" w:rsidRPr="00B5346F" w:rsidRDefault="00DB17D4" w:rsidP="00ED5278">
            <w:pPr>
              <w:pStyle w:val="Tabel-BrdtekstmedafstandptekstGaramond"/>
            </w:pPr>
            <w:r>
              <w:t>En forenkling af reglerne for unde</w:t>
            </w:r>
            <w:r>
              <w:t>r</w:t>
            </w:r>
            <w:r>
              <w:t xml:space="preserve">skudsfremførsel og -anvendelse ligger uden for </w:t>
            </w:r>
            <w:r w:rsidR="00ED5278">
              <w:t>rammerne af dette lo</w:t>
            </w:r>
            <w:r w:rsidR="00ED5278">
              <w:t>v</w:t>
            </w:r>
            <w:r w:rsidR="00ED5278">
              <w:t>forslag.</w:t>
            </w:r>
          </w:p>
        </w:tc>
      </w:tr>
      <w:tr w:rsidR="009731DE" w:rsidRPr="00B5346F" w:rsidTr="005004E8">
        <w:tc>
          <w:tcPr>
            <w:tcW w:w="2093" w:type="dxa"/>
            <w:tcBorders>
              <w:top w:val="single" w:sz="4" w:space="0" w:color="D1C5C3" w:themeColor="accent3"/>
              <w:bottom w:val="single" w:sz="4" w:space="0" w:color="D1C5C3" w:themeColor="accent3"/>
            </w:tcBorders>
            <w:shd w:val="clear" w:color="auto" w:fill="FBF9F9"/>
          </w:tcPr>
          <w:p w:rsidR="009731DE" w:rsidRDefault="009731DE" w:rsidP="001A1477">
            <w:pPr>
              <w:pStyle w:val="Tabel-BrdtekstmedafstandptekstGaramond"/>
              <w:rPr>
                <w:i/>
              </w:rPr>
            </w:pPr>
            <w:r>
              <w:rPr>
                <w:i/>
              </w:rPr>
              <w:lastRenderedPageBreak/>
              <w:t>DVCA</w:t>
            </w:r>
          </w:p>
        </w:tc>
        <w:tc>
          <w:tcPr>
            <w:tcW w:w="104" w:type="dxa"/>
            <w:shd w:val="clear" w:color="auto" w:fill="FFFFFF" w:themeFill="background1"/>
          </w:tcPr>
          <w:p w:rsidR="009731DE" w:rsidRPr="00B5346F" w:rsidRDefault="009731DE" w:rsidP="001A1477"/>
        </w:tc>
        <w:tc>
          <w:tcPr>
            <w:tcW w:w="3665" w:type="dxa"/>
            <w:tcBorders>
              <w:top w:val="single" w:sz="4" w:space="0" w:color="D1C5C3" w:themeColor="accent3"/>
              <w:bottom w:val="single" w:sz="4" w:space="0" w:color="D1C5C3" w:themeColor="accent3"/>
            </w:tcBorders>
            <w:shd w:val="clear" w:color="auto" w:fill="FBF9F9"/>
          </w:tcPr>
          <w:p w:rsidR="009731DE" w:rsidRPr="009F1C24" w:rsidRDefault="009F1C24" w:rsidP="001A1477">
            <w:pPr>
              <w:pStyle w:val="Tabel-BrdtekstmedafstandptekstGaramond"/>
              <w:rPr>
                <w:u w:val="single"/>
              </w:rPr>
            </w:pPr>
            <w:r w:rsidRPr="009F1C24">
              <w:rPr>
                <w:u w:val="single"/>
              </w:rPr>
              <w:t>Bindende svar</w:t>
            </w:r>
          </w:p>
          <w:p w:rsidR="009F1C24" w:rsidRDefault="009F1C24" w:rsidP="009F1C24">
            <w:pPr>
              <w:pStyle w:val="Tabel-BrdtekstmedafstandptekstGaramond"/>
            </w:pPr>
            <w:r w:rsidRPr="009F1C24">
              <w:t>DVCA finder, at det principielt er uhensigtsmæssigt og retssikkerhed</w:t>
            </w:r>
            <w:r w:rsidRPr="009F1C24">
              <w:t>s</w:t>
            </w:r>
            <w:r w:rsidRPr="009F1C24">
              <w:t>mæssigt betænkeligt at fremsætte et forslag, der givet øget usikkerhed for danske virksomheder</w:t>
            </w:r>
            <w:r w:rsidR="00287C6F">
              <w:t>,</w:t>
            </w:r>
            <w:r w:rsidRPr="009F1C24">
              <w:t xml:space="preserve"> og den skat de skal betale. </w:t>
            </w:r>
          </w:p>
          <w:p w:rsidR="009F1C24" w:rsidRPr="009F1C24" w:rsidRDefault="009F1C24" w:rsidP="009F1C24">
            <w:pPr>
              <w:pStyle w:val="Tabel-BrdtekstmedafstandptekstGaramond"/>
            </w:pPr>
          </w:p>
          <w:p w:rsidR="009F1C24" w:rsidRDefault="009F1C24" w:rsidP="009F1C24">
            <w:pPr>
              <w:pStyle w:val="Tabel-BrdtekstmedafstandptekstGaramond"/>
            </w:pPr>
            <w:r w:rsidRPr="009F1C24">
              <w:t>DVCA opfordrer til, at det specific</w:t>
            </w:r>
            <w:r w:rsidRPr="009F1C24">
              <w:t>e</w:t>
            </w:r>
            <w:r w:rsidRPr="009F1C24">
              <w:t>res, hvordan det skal sandsynliggøres, at værdien afviger med mere end 30 pct./1 mio. kr., idet der mangler re</w:t>
            </w:r>
            <w:r w:rsidRPr="009F1C24">
              <w:t>t</w:t>
            </w:r>
            <w:r w:rsidRPr="009F1C24">
              <w:t>ningslinjer herfor.</w:t>
            </w:r>
          </w:p>
          <w:p w:rsidR="009F1C24" w:rsidRDefault="009F1C24" w:rsidP="009F1C24">
            <w:pPr>
              <w:pStyle w:val="Tabel-BrdtekstmedafstandptekstGaramond"/>
            </w:pPr>
          </w:p>
          <w:p w:rsidR="009F1C24" w:rsidRDefault="009F1C24" w:rsidP="009F1C24">
            <w:pPr>
              <w:pStyle w:val="Tabel-BrdtekstmedafstandptekstGaramond"/>
            </w:pPr>
          </w:p>
          <w:p w:rsidR="009F1C24" w:rsidRDefault="009F1C24" w:rsidP="009F1C24">
            <w:pPr>
              <w:pStyle w:val="Tabel-BrdtekstmedafstandptekstGaramond"/>
            </w:pPr>
          </w:p>
          <w:p w:rsidR="009F1C24" w:rsidRDefault="009F1C24" w:rsidP="009F1C24">
            <w:pPr>
              <w:pStyle w:val="Tabel-BrdtekstmedafstandptekstGaramond"/>
            </w:pPr>
          </w:p>
          <w:p w:rsidR="009F1C24" w:rsidRDefault="009F1C24" w:rsidP="009F1C24">
            <w:pPr>
              <w:pStyle w:val="Tabel-BrdtekstmedafstandptekstGaramond"/>
            </w:pPr>
          </w:p>
          <w:p w:rsidR="009F1C24" w:rsidRDefault="009F1C24" w:rsidP="009F1C24">
            <w:pPr>
              <w:pStyle w:val="Tabel-BrdtekstmedafstandptekstGaramond"/>
            </w:pPr>
          </w:p>
          <w:p w:rsidR="00C05FBA" w:rsidRPr="009F1C24" w:rsidRDefault="00C05FBA" w:rsidP="009F1C24">
            <w:pPr>
              <w:pStyle w:val="Tabel-BrdtekstmedafstandptekstGaramond"/>
            </w:pPr>
          </w:p>
          <w:p w:rsidR="009F1C24" w:rsidRPr="009F1C24" w:rsidRDefault="009F1C24" w:rsidP="009F1C24">
            <w:pPr>
              <w:pStyle w:val="Tabel-BrdtekstmedafstandptekstGaramond"/>
            </w:pPr>
            <w:r w:rsidRPr="009F1C24">
              <w:t>Endelig opfordrer DVCA til, at det overvejes</w:t>
            </w:r>
            <w:r w:rsidR="007C4D50">
              <w:t>,</w:t>
            </w:r>
            <w:r w:rsidRPr="009F1C24">
              <w:t xml:space="preserve"> hvordan det sikres, at re</w:t>
            </w:r>
            <w:r w:rsidRPr="009F1C24">
              <w:t>g</w:t>
            </w:r>
            <w:r w:rsidRPr="009F1C24">
              <w:t xml:space="preserve">len også kan anvendes af skatteydere i den omvendte situation.   </w:t>
            </w: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C046EF" w:rsidRDefault="00C046EF" w:rsidP="001A1477">
            <w:pPr>
              <w:pStyle w:val="Tabel-BrdtekstmedafstandptekstGaramond"/>
            </w:pPr>
          </w:p>
          <w:p w:rsidR="007C4D50" w:rsidRDefault="007C4D50" w:rsidP="001A1477">
            <w:pPr>
              <w:pStyle w:val="Tabel-BrdtekstmedafstandptekstGaramond"/>
            </w:pPr>
          </w:p>
          <w:p w:rsidR="00C046EF" w:rsidRPr="00C046EF" w:rsidRDefault="00C046EF" w:rsidP="001A1477">
            <w:pPr>
              <w:pStyle w:val="Tabel-BrdtekstmedafstandptekstGaramond"/>
              <w:rPr>
                <w:u w:val="single"/>
              </w:rPr>
            </w:pPr>
            <w:r w:rsidRPr="00C046EF">
              <w:rPr>
                <w:u w:val="single"/>
              </w:rPr>
              <w:t>International omgåelsesklausul</w:t>
            </w:r>
          </w:p>
          <w:p w:rsidR="00C046EF" w:rsidRDefault="006C0174" w:rsidP="001A1477">
            <w:pPr>
              <w:pStyle w:val="Tabel-BrdtekstmedafstandptekstGaramond"/>
            </w:pPr>
            <w:r>
              <w:t xml:space="preserve">DVCA opfordrer til, at </w:t>
            </w:r>
            <w:proofErr w:type="spellStart"/>
            <w:r>
              <w:t>værnsreglerne</w:t>
            </w:r>
            <w:proofErr w:type="spellEnd"/>
            <w:r>
              <w:t xml:space="preserve"> i de to omgåelsesklausuler præciseres.</w:t>
            </w:r>
          </w:p>
          <w:p w:rsidR="006C0174" w:rsidRDefault="006C0174" w:rsidP="001A1477">
            <w:pPr>
              <w:pStyle w:val="Tabel-BrdtekstmedafstandptekstGaramond"/>
            </w:pPr>
          </w:p>
          <w:p w:rsidR="006C0174" w:rsidRDefault="006C0174" w:rsidP="001A1477">
            <w:pPr>
              <w:pStyle w:val="Tabel-BrdtekstmedafstandptekstGaramond"/>
            </w:pPr>
            <w:r>
              <w:t>DVCA opfordrer til, at omgåelse</w:t>
            </w:r>
            <w:r>
              <w:t>s</w:t>
            </w:r>
            <w:r>
              <w:t xml:space="preserve">klausulerne </w:t>
            </w:r>
            <w:r w:rsidR="00290603">
              <w:t>harmoniseres med værn</w:t>
            </w:r>
            <w:r w:rsidR="00290603">
              <w:t>s</w:t>
            </w:r>
            <w:r w:rsidR="00290603">
              <w:t>reglen i aktieavancebeskatningslovens § 4 A, hvor der ikke er tale om et me</w:t>
            </w:r>
            <w:r w:rsidR="00290603">
              <w:t>l</w:t>
            </w:r>
            <w:r w:rsidR="00290603">
              <w:t>lemholdingselskab, hvis mindst 50 pct. af aktionærerne ikke nyder ska</w:t>
            </w:r>
            <w:r w:rsidR="00290603">
              <w:t>t</w:t>
            </w:r>
            <w:r w:rsidR="00290603">
              <w:t>temæssig fordel af mellemholdingse</w:t>
            </w:r>
            <w:r w:rsidR="00290603">
              <w:t>l</w:t>
            </w:r>
            <w:r w:rsidR="00290603">
              <w:t xml:space="preserve">skabet. </w:t>
            </w:r>
          </w:p>
          <w:p w:rsidR="00AC673D" w:rsidRDefault="00AC673D" w:rsidP="001A1477">
            <w:pPr>
              <w:pStyle w:val="Tabel-BrdtekstmedafstandptekstGaramond"/>
            </w:pPr>
          </w:p>
          <w:p w:rsidR="00290603" w:rsidRDefault="00290603" w:rsidP="001A1477">
            <w:pPr>
              <w:pStyle w:val="Tabel-BrdtekstmedafstandptekstGaramond"/>
            </w:pPr>
            <w:r>
              <w:t>DVCA finder, at det er uhensigt</w:t>
            </w:r>
            <w:r>
              <w:t>s</w:t>
            </w:r>
            <w:r>
              <w:t>mæssigt at have to omgåelsesklausuler i dansk ret. DVCA opfordre</w:t>
            </w:r>
            <w:r w:rsidR="007C4D50">
              <w:t>r</w:t>
            </w:r>
            <w:r>
              <w:t xml:space="preserve"> til, at det i lovbemærkningerne eller lovte</w:t>
            </w:r>
            <w:r>
              <w:t>k</w:t>
            </w:r>
            <w:r>
              <w:t>sten vedrørende</w:t>
            </w:r>
            <w:r w:rsidR="007C4D50">
              <w:t xml:space="preserve"> omgåelsesklausulen for</w:t>
            </w:r>
            <w:r>
              <w:t xml:space="preserve"> overenskomster anføres, at omg</w:t>
            </w:r>
            <w:r>
              <w:t>å</w:t>
            </w:r>
            <w:r>
              <w:t>elsesklausulen ikke</w:t>
            </w:r>
            <w:r w:rsidR="000E4B19">
              <w:t xml:space="preserve"> skal gælde</w:t>
            </w:r>
            <w:r>
              <w:t xml:space="preserve"> </w:t>
            </w:r>
            <w:r w:rsidR="000E4B19">
              <w:t>i fo</w:t>
            </w:r>
            <w:r w:rsidR="000E4B19">
              <w:t>r</w:t>
            </w:r>
            <w:r w:rsidR="000E4B19">
              <w:t>hold til transaktioner eller arrang</w:t>
            </w:r>
            <w:r w:rsidR="000E4B19">
              <w:t>e</w:t>
            </w:r>
            <w:r w:rsidR="000E4B19">
              <w:t>menter, der er udtryk for reel økon</w:t>
            </w:r>
            <w:r w:rsidR="000E4B19">
              <w:t>o</w:t>
            </w:r>
            <w:r w:rsidR="000E4B19">
              <w:t>misk aktivitet.</w:t>
            </w:r>
            <w:r>
              <w:t xml:space="preserve"> </w:t>
            </w:r>
          </w:p>
          <w:p w:rsidR="00290603" w:rsidRDefault="00290603" w:rsidP="001A1477">
            <w:pPr>
              <w:pStyle w:val="Tabel-BrdtekstmedafstandptekstGaramond"/>
            </w:pPr>
          </w:p>
          <w:p w:rsidR="00AC673D" w:rsidRDefault="00AC673D" w:rsidP="001A1477">
            <w:pPr>
              <w:pStyle w:val="Tabel-BrdtekstmedafstandptekstGaramond"/>
            </w:pPr>
            <w:r>
              <w:t>DVCA anfører, at indførelsen af en omgåelsesklausul vedrørende do</w:t>
            </w:r>
            <w:r>
              <w:t>b</w:t>
            </w:r>
            <w:r>
              <w:t>beltbeskatningsoverenskomsterne er en ændring, der kun kan håndhæves, hvis det er aftalt mellem de relevante lande.</w:t>
            </w:r>
          </w:p>
          <w:p w:rsidR="00C046EF" w:rsidRDefault="00C046EF" w:rsidP="001A1477">
            <w:pPr>
              <w:pStyle w:val="Tabel-BrdtekstmedafstandptekstGaramond"/>
            </w:pPr>
          </w:p>
          <w:p w:rsidR="00AC673D" w:rsidRDefault="007C4D50" w:rsidP="001A1477">
            <w:pPr>
              <w:pStyle w:val="Tabel-BrdtekstmedafstandptekstGaramond"/>
            </w:pPr>
            <w:r>
              <w:t>Det</w:t>
            </w:r>
            <w:r w:rsidR="00AC673D">
              <w:t xml:space="preserve"> bedes bekræfte</w:t>
            </w:r>
            <w:r>
              <w:t>t</w:t>
            </w:r>
            <w:r w:rsidR="00AC673D">
              <w:t>, at den foreslå</w:t>
            </w:r>
            <w:r w:rsidR="00AC673D">
              <w:t>e</w:t>
            </w:r>
            <w:r w:rsidR="00AC673D">
              <w:lastRenderedPageBreak/>
              <w:t xml:space="preserve">de regel i ligningslovens § 3, stk. 1, </w:t>
            </w:r>
            <w:r w:rsidR="00FD5950">
              <w:t>kun finder anvendelse på transakti</w:t>
            </w:r>
            <w:r w:rsidR="00FD5950">
              <w:t>o</w:t>
            </w:r>
            <w:r w:rsidR="00FD5950">
              <w:t>ner, der har et grænseoverskridende element.</w:t>
            </w:r>
          </w:p>
          <w:p w:rsidR="00AC673D" w:rsidRDefault="00AC673D" w:rsidP="001A1477">
            <w:pPr>
              <w:pStyle w:val="Tabel-BrdtekstmedafstandptekstGaramond"/>
            </w:pPr>
          </w:p>
          <w:p w:rsidR="00FD5950" w:rsidRDefault="007C4D50" w:rsidP="001A1477">
            <w:pPr>
              <w:pStyle w:val="Tabel-BrdtekstmedafstandptekstGaramond"/>
            </w:pPr>
            <w:r>
              <w:t>Det</w:t>
            </w:r>
            <w:r w:rsidR="00CF3DC4">
              <w:t xml:space="preserve"> bedes bekræfte</w:t>
            </w:r>
            <w:r>
              <w:t>t</w:t>
            </w:r>
            <w:r w:rsidR="00CF3DC4">
              <w:t>, at omgåelse</w:t>
            </w:r>
            <w:r w:rsidR="00CF3DC4">
              <w:t>s</w:t>
            </w:r>
            <w:r w:rsidR="00CF3DC4">
              <w:t xml:space="preserve">klausulen i </w:t>
            </w:r>
            <w:r w:rsidR="00DD2AEE">
              <w:t>ligningslovens § 3, stk. 1, er underlagt EU-domstolens fortol</w:t>
            </w:r>
            <w:r w:rsidR="00DD2AEE">
              <w:t>k</w:t>
            </w:r>
            <w:r w:rsidR="00DD2AEE">
              <w:t>ning</w:t>
            </w:r>
            <w:r w:rsidR="00CE37DA">
              <w:t>, og at der ikke er et selvstændigt indhold af ligningslovens § 3, stk. 1, uden for misbrugsbestemmelserne i de i stk. 5 angivne direktiver.</w:t>
            </w:r>
          </w:p>
          <w:p w:rsidR="00CE37DA" w:rsidRDefault="00CE37DA" w:rsidP="001A1477">
            <w:pPr>
              <w:pStyle w:val="Tabel-BrdtekstmedafstandptekstGaramond"/>
            </w:pPr>
          </w:p>
          <w:p w:rsidR="00CE37DA" w:rsidRDefault="00CE37DA" w:rsidP="00CE37DA">
            <w:pPr>
              <w:pStyle w:val="Tabel-BrdtekstmedafstandptekstGaramond"/>
            </w:pPr>
            <w:r>
              <w:t xml:space="preserve">Særligt </w:t>
            </w:r>
            <w:r w:rsidR="007C4D50">
              <w:t>bedes det</w:t>
            </w:r>
            <w:r>
              <w:t xml:space="preserve"> bekræfte</w:t>
            </w:r>
            <w:r w:rsidR="007C4D50">
              <w:t>t</w:t>
            </w:r>
            <w:r>
              <w:t>, at SKAT ikke ved en analyse kan nå frem til en anvendelse af omgåelsesklausulen, der vil være i modstrid med EU-domspraksis.</w:t>
            </w:r>
          </w:p>
          <w:p w:rsidR="00FD5950" w:rsidRDefault="00FD5950" w:rsidP="001A1477">
            <w:pPr>
              <w:pStyle w:val="Tabel-BrdtekstmedafstandptekstGaramond"/>
            </w:pPr>
          </w:p>
          <w:p w:rsidR="00CE37DA" w:rsidRDefault="00676DDA" w:rsidP="001A1477">
            <w:pPr>
              <w:pStyle w:val="Tabel-BrdtekstmedafstandptekstGaramond"/>
            </w:pPr>
            <w:r>
              <w:t>Det</w:t>
            </w:r>
            <w:r w:rsidR="00EE3693">
              <w:t xml:space="preserve"> opfordres til at</w:t>
            </w:r>
            <w:r>
              <w:t xml:space="preserve"> blive</w:t>
            </w:r>
            <w:r w:rsidR="00EE3693">
              <w:t xml:space="preserve"> afklare</w:t>
            </w:r>
            <w:r>
              <w:t>t</w:t>
            </w:r>
            <w:r w:rsidR="00EE3693">
              <w:t>, hvad der nærmere skal forstås ved en ”objektiv analyse”, og hvordan dette eventuelt måtte afvige fra SKATs sædvanlige analyser.</w:t>
            </w:r>
          </w:p>
          <w:p w:rsidR="00CE37DA" w:rsidRDefault="00CE37DA" w:rsidP="001A1477">
            <w:pPr>
              <w:pStyle w:val="Tabel-BrdtekstmedafstandptekstGaramond"/>
            </w:pPr>
          </w:p>
          <w:p w:rsidR="009731DE" w:rsidRDefault="009731DE" w:rsidP="001A1477">
            <w:pPr>
              <w:pStyle w:val="Tabel-BrdtekstmedafstandptekstGaramond"/>
              <w:rPr>
                <w:u w:val="single"/>
              </w:rPr>
            </w:pPr>
            <w:r>
              <w:rPr>
                <w:u w:val="single"/>
              </w:rPr>
              <w:t>Trusts</w:t>
            </w:r>
          </w:p>
          <w:p w:rsidR="009731DE" w:rsidRDefault="009731DE" w:rsidP="009731DE">
            <w:pPr>
              <w:pStyle w:val="Tabel-BrdtekstmedafstandptekstGaramond"/>
            </w:pPr>
            <w:r>
              <w:t>DVCA har forståelse for ønsket om at dæmme op for skatteunddragelse ved anvendelsen af udenlandske trust</w:t>
            </w:r>
            <w:r w:rsidR="00676DDA">
              <w:t>s</w:t>
            </w:r>
            <w:r>
              <w:t xml:space="preserve"> og visse fonde. Det er dog </w:t>
            </w:r>
            <w:proofErr w:type="spellStart"/>
            <w:r>
              <w:t>DVCA’s</w:t>
            </w:r>
            <w:proofErr w:type="spellEnd"/>
            <w:r>
              <w:t xml:space="preserve"> vurdering, at lovforslaget er for upr</w:t>
            </w:r>
            <w:r>
              <w:t>æ</w:t>
            </w:r>
            <w:r>
              <w:t>cist, hvorved der er en ringe grad af retssikkerhed</w:t>
            </w:r>
            <w:r w:rsidR="00676DDA">
              <w:t>,</w:t>
            </w:r>
            <w:r>
              <w:t xml:space="preserve"> og at forslaget går læ</w:t>
            </w:r>
            <w:r>
              <w:t>n</w:t>
            </w:r>
            <w:r>
              <w:t>gere end nødvendigt. Der er derfor behov for en række præciseringer jf. nedenfor.</w:t>
            </w:r>
          </w:p>
          <w:p w:rsidR="009731DE" w:rsidRDefault="009731DE" w:rsidP="009731DE">
            <w:pPr>
              <w:pStyle w:val="Tabel-BrdtekstmedafstandptekstGaramond"/>
            </w:pPr>
          </w:p>
          <w:p w:rsidR="009731DE" w:rsidRPr="009731DE" w:rsidRDefault="009731DE" w:rsidP="00676DDA">
            <w:pPr>
              <w:pStyle w:val="Tabel-BrdtekstmedafstandptekstGaramond"/>
            </w:pPr>
            <w:r>
              <w:t>Der mangler således en nærmere d</w:t>
            </w:r>
            <w:r>
              <w:t>e</w:t>
            </w:r>
            <w:r>
              <w:t>finition af ”</w:t>
            </w:r>
            <w:r w:rsidR="00676DDA">
              <w:t>t</w:t>
            </w:r>
            <w:r>
              <w:t>rusts”. Forslaget lægger op til en forskelsbehandling mellem danske fonde og udenlandske ”</w:t>
            </w:r>
            <w:r w:rsidR="00676DDA">
              <w:t>t</w:t>
            </w:r>
            <w:r>
              <w:t>rust</w:t>
            </w:r>
            <w:r w:rsidR="00676DDA">
              <w:t>s</w:t>
            </w:r>
            <w:r>
              <w:t>” uanset, at disse måtte være underlagt det samme krav om endelig</w:t>
            </w:r>
            <w:r w:rsidR="00676DDA">
              <w:t>t</w:t>
            </w:r>
            <w:r>
              <w:t xml:space="preserve"> og uigenkaldelig</w:t>
            </w:r>
            <w:r w:rsidR="00676DDA">
              <w:t>t</w:t>
            </w:r>
            <w:r>
              <w:t xml:space="preserve"> afkald på formuen. A</w:t>
            </w:r>
            <w:r>
              <w:t>l</w:t>
            </w:r>
            <w:r>
              <w:lastRenderedPageBreak/>
              <w:t>lokering af afkast i ”</w:t>
            </w:r>
            <w:r w:rsidR="00676DDA">
              <w:t>t</w:t>
            </w:r>
            <w:r>
              <w:t>rusts” til stiftere og indskydere er uklar og kan medf</w:t>
            </w:r>
            <w:r>
              <w:t>ø</w:t>
            </w:r>
            <w:r>
              <w:t>re urimelige resultater. Endelig kan forslaget medføre dobbeltbeskatning i form af en beskatning hos både stifter og modtager af uddelinger, hvilket virker urimeligt.</w:t>
            </w:r>
          </w:p>
        </w:tc>
        <w:tc>
          <w:tcPr>
            <w:tcW w:w="112" w:type="dxa"/>
            <w:shd w:val="clear" w:color="auto" w:fill="FFFFFF" w:themeFill="background1"/>
          </w:tcPr>
          <w:p w:rsidR="009731DE" w:rsidRPr="00B5346F" w:rsidRDefault="009731DE" w:rsidP="001A1477"/>
        </w:tc>
        <w:tc>
          <w:tcPr>
            <w:tcW w:w="3665" w:type="dxa"/>
            <w:tcBorders>
              <w:top w:val="single" w:sz="4" w:space="0" w:color="14143C" w:themeColor="accent1"/>
              <w:bottom w:val="single" w:sz="4" w:space="0" w:color="14143C" w:themeColor="accent1"/>
            </w:tcBorders>
            <w:shd w:val="clear" w:color="auto" w:fill="D2CED8"/>
          </w:tcPr>
          <w:p w:rsidR="009731DE" w:rsidRDefault="009731DE" w:rsidP="001A1477">
            <w:pPr>
              <w:pStyle w:val="Tabel-BrdtekstmedafstandptekstGaramond"/>
            </w:pPr>
          </w:p>
          <w:p w:rsidR="009F1C24" w:rsidRPr="009F1C24" w:rsidRDefault="009F1C24" w:rsidP="009F1C24">
            <w:pPr>
              <w:pStyle w:val="Tabel-BrdtekstmedafstandptekstGaramond"/>
            </w:pPr>
            <w:r w:rsidRPr="009F1C24">
              <w:t>Der henvises til kommentaren til A</w:t>
            </w:r>
            <w:r w:rsidRPr="009F1C24">
              <w:t>d</w:t>
            </w:r>
            <w:r w:rsidRPr="009F1C24">
              <w:t>vokatrådet og kommentaren til Lan</w:t>
            </w:r>
            <w:r w:rsidRPr="009F1C24">
              <w:t>d</w:t>
            </w:r>
            <w:r w:rsidRPr="009F1C24">
              <w:t>brug &amp;</w:t>
            </w:r>
            <w:r w:rsidR="00C05FBA">
              <w:t xml:space="preserve"> </w:t>
            </w:r>
            <w:r w:rsidRPr="009F1C24">
              <w:t>Fødevarer</w:t>
            </w: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Default="009F1C24" w:rsidP="001A1477">
            <w:pPr>
              <w:pStyle w:val="Tabel-BrdtekstmedafstandptekstGaramond"/>
            </w:pPr>
          </w:p>
          <w:p w:rsidR="009F1C24" w:rsidRPr="009F1C24" w:rsidRDefault="009F1C24" w:rsidP="009F1C24">
            <w:pPr>
              <w:pStyle w:val="Tabel-BrdtekstmedafstandptekstGaramond"/>
            </w:pPr>
            <w:r w:rsidRPr="009F1C24">
              <w:t>Det fremgår udtrykkeligt af den for</w:t>
            </w:r>
            <w:r w:rsidRPr="009F1C24">
              <w:t>e</w:t>
            </w:r>
            <w:r w:rsidRPr="009F1C24">
              <w:t>slåede regel, at grundlaget for en vu</w:t>
            </w:r>
            <w:r w:rsidRPr="009F1C24">
              <w:t>r</w:t>
            </w:r>
            <w:r w:rsidRPr="009F1C24">
              <w:t>dering af, om der foreligger en v</w:t>
            </w:r>
            <w:r w:rsidRPr="009F1C24">
              <w:t>æ</w:t>
            </w:r>
            <w:r w:rsidRPr="009F1C24">
              <w:t>sentlig værdiafvigelse, alene kan bas</w:t>
            </w:r>
            <w:r w:rsidRPr="009F1C24">
              <w:t>e</w:t>
            </w:r>
            <w:r w:rsidRPr="009F1C24">
              <w:t xml:space="preserve">res på to forhold, </w:t>
            </w:r>
            <w:r w:rsidR="007C4D50">
              <w:t xml:space="preserve">dvs. </w:t>
            </w:r>
            <w:r w:rsidRPr="009F1C24">
              <w:t>enten ud fra et efterfølgende salg eller ud fra større</w:t>
            </w:r>
            <w:r w:rsidRPr="009F1C24">
              <w:t>l</w:t>
            </w:r>
            <w:r w:rsidRPr="009F1C24">
              <w:t>sen af det efterfølgende afkast på a</w:t>
            </w:r>
            <w:r w:rsidRPr="009F1C24">
              <w:t>k</w:t>
            </w:r>
            <w:r w:rsidRPr="009F1C24">
              <w:t>tivet. Der er således i den foreslåede regel givet en ramme for, hvad der skal til</w:t>
            </w:r>
            <w:r w:rsidR="007C4D50">
              <w:t>,</w:t>
            </w:r>
            <w:r w:rsidRPr="009F1C24">
              <w:t xml:space="preserve"> for at SKAT kan tage en væ</w:t>
            </w:r>
            <w:r w:rsidRPr="009F1C24">
              <w:t>r</w:t>
            </w:r>
            <w:r w:rsidRPr="009F1C24">
              <w:t xml:space="preserve">diansættelse op til revurdering. </w:t>
            </w:r>
          </w:p>
          <w:p w:rsidR="009F1C24" w:rsidRDefault="009F1C24" w:rsidP="001A1477">
            <w:pPr>
              <w:pStyle w:val="Tabel-BrdtekstmedafstandptekstGaramond"/>
            </w:pPr>
          </w:p>
          <w:p w:rsidR="007C4D50" w:rsidRDefault="009F1C24" w:rsidP="009F1C24">
            <w:pPr>
              <w:pStyle w:val="Tabel-BrdtekstmedafstandptekstGaramond"/>
            </w:pPr>
            <w:r w:rsidRPr="009F1C24">
              <w:t>Den omvendte situation vil være o</w:t>
            </w:r>
            <w:r w:rsidRPr="009F1C24">
              <w:t>m</w:t>
            </w:r>
            <w:r w:rsidRPr="009F1C24">
              <w:t>fattet af reglerne i skatteforvaltning</w:t>
            </w:r>
            <w:r w:rsidRPr="009F1C24">
              <w:t>s</w:t>
            </w:r>
            <w:r w:rsidRPr="009F1C24">
              <w:t>lovens § 26 eller § 27. Hvor en skatt</w:t>
            </w:r>
            <w:r w:rsidRPr="009F1C24">
              <w:t>e</w:t>
            </w:r>
            <w:r w:rsidRPr="009F1C24">
              <w:t xml:space="preserve">yder har benyttet et bindende svar om </w:t>
            </w:r>
            <w:r w:rsidRPr="009F1C24">
              <w:lastRenderedPageBreak/>
              <w:t>værdien af et aktiv i en selvangivelse, men hvor der efterfølgende fre</w:t>
            </w:r>
            <w:r w:rsidRPr="009F1C24">
              <w:t>m</w:t>
            </w:r>
            <w:r w:rsidRPr="009F1C24">
              <w:t>kommer oplysninger, der indikerer, at den værdi, der er indeholdt i det bi</w:t>
            </w:r>
            <w:r w:rsidRPr="009F1C24">
              <w:t>n</w:t>
            </w:r>
            <w:r w:rsidRPr="009F1C24">
              <w:t>dende svar er forkert (for høj), vil skatteansættelsen således kunne æ</w:t>
            </w:r>
            <w:r w:rsidRPr="009F1C24">
              <w:t>n</w:t>
            </w:r>
            <w:r w:rsidRPr="009F1C24">
              <w:t xml:space="preserve">dres efter skatteforvaltningslovens § 26 eller § 27, forudsat at betingelserne i skatteforvaltningslovens § 26 eller § 27 er opfyldt. </w:t>
            </w:r>
            <w:r w:rsidR="007C4D50">
              <w:t>Der henvises til ko</w:t>
            </w:r>
            <w:r w:rsidR="007C4D50">
              <w:t>m</w:t>
            </w:r>
            <w:r w:rsidR="007C4D50">
              <w:t>mentaren til FSR.</w:t>
            </w:r>
          </w:p>
          <w:p w:rsidR="009F1C24" w:rsidRPr="009F1C24" w:rsidRDefault="009F1C24" w:rsidP="009F1C24">
            <w:pPr>
              <w:pStyle w:val="Tabel-BrdtekstmedafstandptekstGaramond"/>
            </w:pPr>
            <w:r w:rsidRPr="009F1C24">
              <w:t xml:space="preserve">  </w:t>
            </w:r>
          </w:p>
          <w:p w:rsidR="009731DE" w:rsidRDefault="009731DE" w:rsidP="001A1477">
            <w:pPr>
              <w:pStyle w:val="Tabel-BrdtekstmedafstandptekstGaramond"/>
            </w:pPr>
          </w:p>
          <w:p w:rsidR="006C0174" w:rsidRDefault="006C0174" w:rsidP="001A1477">
            <w:pPr>
              <w:pStyle w:val="Tabel-BrdtekstmedafstandptekstGaramond"/>
            </w:pPr>
            <w:r>
              <w:t>Der henvises til kommentaren til FSR.</w:t>
            </w:r>
          </w:p>
          <w:p w:rsidR="006C0174" w:rsidRDefault="006C0174" w:rsidP="001A1477">
            <w:pPr>
              <w:pStyle w:val="Tabel-BrdtekstmedafstandptekstGaramond"/>
            </w:pPr>
          </w:p>
          <w:p w:rsidR="00290603" w:rsidRDefault="006C0174" w:rsidP="001A1477">
            <w:pPr>
              <w:pStyle w:val="Tabel-BrdtekstmedafstandptekstGaramond"/>
            </w:pPr>
            <w:r>
              <w:t xml:space="preserve">Dette kan ikke tiltrædes. </w:t>
            </w:r>
            <w:r w:rsidR="00290603">
              <w:t>Bestemme</w:t>
            </w:r>
            <w:r w:rsidR="00290603">
              <w:t>l</w:t>
            </w:r>
            <w:r w:rsidR="00290603">
              <w:t>sen i aktieavancebeskatningslovens § 4 A</w:t>
            </w:r>
            <w:r>
              <w:t xml:space="preserve"> har et specifikt sigte, mens </w:t>
            </w:r>
            <w:r w:rsidR="00290603">
              <w:t>de f</w:t>
            </w:r>
            <w:r w:rsidR="00290603">
              <w:t>o</w:t>
            </w:r>
            <w:r w:rsidR="00290603">
              <w:t xml:space="preserve">reslåede </w:t>
            </w:r>
            <w:r>
              <w:t>omg</w:t>
            </w:r>
            <w:r w:rsidR="00290603">
              <w:t>åelsesklausuler sigter g</w:t>
            </w:r>
            <w:r w:rsidR="00290603">
              <w:t>e</w:t>
            </w:r>
            <w:r w:rsidR="00290603">
              <w:t>nerelt mod uberettigede skattefordele efter direktiverne og efter dobbeltb</w:t>
            </w:r>
            <w:r w:rsidR="00290603">
              <w:t>e</w:t>
            </w:r>
            <w:r w:rsidR="00290603">
              <w:t>skatningsoverenskomsterne.</w:t>
            </w:r>
          </w:p>
          <w:p w:rsidR="00290603" w:rsidRDefault="00290603" w:rsidP="001A1477">
            <w:pPr>
              <w:pStyle w:val="Tabel-BrdtekstmedafstandptekstGaramond"/>
            </w:pPr>
          </w:p>
          <w:p w:rsidR="00290603" w:rsidRDefault="00290603" w:rsidP="001A1477">
            <w:pPr>
              <w:pStyle w:val="Tabel-BrdtekstmedafstandptekstGaramond"/>
            </w:pPr>
          </w:p>
          <w:p w:rsidR="00290603" w:rsidRDefault="000E4B19" w:rsidP="001A1477">
            <w:pPr>
              <w:pStyle w:val="Tabel-BrdtekstmedafstandptekstGaramond"/>
            </w:pPr>
            <w:r>
              <w:t>Der henvises til kommentaren til FSR.</w:t>
            </w:r>
          </w:p>
          <w:p w:rsidR="00290603" w:rsidRDefault="00290603" w:rsidP="001A1477">
            <w:pPr>
              <w:pStyle w:val="Tabel-BrdtekstmedafstandptekstGaramond"/>
            </w:pPr>
          </w:p>
          <w:p w:rsidR="00290603" w:rsidRDefault="00290603" w:rsidP="001A1477">
            <w:pPr>
              <w:pStyle w:val="Tabel-BrdtekstmedafstandptekstGaramond"/>
            </w:pPr>
          </w:p>
          <w:p w:rsidR="000E4B19" w:rsidRDefault="000E4B19" w:rsidP="001A1477">
            <w:pPr>
              <w:pStyle w:val="Tabel-BrdtekstmedafstandptekstGaramond"/>
            </w:pPr>
          </w:p>
          <w:p w:rsidR="000E4B19" w:rsidRDefault="000E4B19" w:rsidP="001A1477">
            <w:pPr>
              <w:pStyle w:val="Tabel-BrdtekstmedafstandptekstGaramond"/>
            </w:pPr>
          </w:p>
          <w:p w:rsidR="000E4B19" w:rsidRDefault="000E4B19" w:rsidP="001A1477">
            <w:pPr>
              <w:pStyle w:val="Tabel-BrdtekstmedafstandptekstGaramond"/>
            </w:pPr>
          </w:p>
          <w:p w:rsidR="000E4B19" w:rsidRDefault="000E4B19" w:rsidP="001A1477">
            <w:pPr>
              <w:pStyle w:val="Tabel-BrdtekstmedafstandptekstGaramond"/>
            </w:pPr>
          </w:p>
          <w:p w:rsidR="000E4B19" w:rsidRDefault="000E4B19" w:rsidP="001A1477">
            <w:pPr>
              <w:pStyle w:val="Tabel-BrdtekstmedafstandptekstGaramond"/>
            </w:pPr>
          </w:p>
          <w:p w:rsidR="007C4D50" w:rsidRDefault="007C4D50" w:rsidP="001A1477">
            <w:pPr>
              <w:pStyle w:val="Tabel-BrdtekstmedafstandptekstGaramond"/>
            </w:pPr>
          </w:p>
          <w:p w:rsidR="00290603" w:rsidRDefault="00290603" w:rsidP="001A1477">
            <w:pPr>
              <w:pStyle w:val="Tabel-BrdtekstmedafstandptekstGaramond"/>
            </w:pPr>
          </w:p>
          <w:p w:rsidR="00AC673D" w:rsidRDefault="00AC673D" w:rsidP="001A1477">
            <w:pPr>
              <w:pStyle w:val="Tabel-BrdtekstmedafstandptekstGaramond"/>
            </w:pPr>
            <w:r>
              <w:t>Der henvises til kommentaren til A</w:t>
            </w:r>
            <w:r>
              <w:t>d</w:t>
            </w:r>
            <w:r>
              <w:t>vokatrådet.</w:t>
            </w:r>
          </w:p>
          <w:p w:rsidR="00AC673D" w:rsidRDefault="00AC673D" w:rsidP="001A1477">
            <w:pPr>
              <w:pStyle w:val="Tabel-BrdtekstmedafstandptekstGaramond"/>
            </w:pPr>
          </w:p>
          <w:p w:rsidR="009731DE" w:rsidRDefault="009731DE" w:rsidP="001A1477">
            <w:pPr>
              <w:pStyle w:val="Tabel-BrdtekstmedafstandptekstGaramond"/>
            </w:pPr>
          </w:p>
          <w:p w:rsidR="009731DE" w:rsidRDefault="009731DE" w:rsidP="001A1477">
            <w:pPr>
              <w:pStyle w:val="Tabel-BrdtekstmedafstandptekstGaramond"/>
            </w:pPr>
          </w:p>
          <w:p w:rsidR="00DE4F79" w:rsidRDefault="00DE4F79" w:rsidP="001A1477">
            <w:pPr>
              <w:pStyle w:val="Tabel-BrdtekstmedafstandptekstGaramond"/>
            </w:pPr>
          </w:p>
          <w:p w:rsidR="00DE4F79" w:rsidRDefault="00DE4F79" w:rsidP="001A1477">
            <w:pPr>
              <w:pStyle w:val="Tabel-BrdtekstmedafstandptekstGaramond"/>
            </w:pPr>
          </w:p>
          <w:p w:rsidR="009731DE" w:rsidRDefault="00BB4D98" w:rsidP="001A1477">
            <w:pPr>
              <w:pStyle w:val="Tabel-BrdtekstmedafstandptekstGaramond"/>
            </w:pPr>
            <w:r>
              <w:t xml:space="preserve">Dette kan bekræftes, idet direktiverne </w:t>
            </w:r>
            <w:r>
              <w:lastRenderedPageBreak/>
              <w:t>kun finder anvendelse på grænseove</w:t>
            </w:r>
            <w:r>
              <w:t>r</w:t>
            </w:r>
            <w:r>
              <w:t>skridende transaktioner.</w:t>
            </w:r>
          </w:p>
          <w:p w:rsidR="009731DE" w:rsidRDefault="009731DE" w:rsidP="001A1477">
            <w:pPr>
              <w:pStyle w:val="Tabel-BrdtekstmedafstandptekstGaramond"/>
            </w:pPr>
          </w:p>
          <w:p w:rsidR="009731DE" w:rsidRDefault="009731DE" w:rsidP="001A1477">
            <w:pPr>
              <w:pStyle w:val="Tabel-BrdtekstmedafstandptekstGaramond"/>
            </w:pPr>
          </w:p>
          <w:p w:rsidR="00AC673D" w:rsidRDefault="00AC673D" w:rsidP="001A1477">
            <w:pPr>
              <w:pStyle w:val="Tabel-BrdtekstmedafstandptekstGaramond"/>
            </w:pPr>
          </w:p>
          <w:p w:rsidR="00AC673D" w:rsidRDefault="000731C3" w:rsidP="001A1477">
            <w:pPr>
              <w:pStyle w:val="Tabel-BrdtekstmedafstandptekstGaramond"/>
            </w:pPr>
            <w:r>
              <w:t>Der henvises til kommentaren til Danske Advokater.</w:t>
            </w:r>
          </w:p>
          <w:p w:rsidR="00AC673D" w:rsidRDefault="00AC673D" w:rsidP="001A1477">
            <w:pPr>
              <w:pStyle w:val="Tabel-BrdtekstmedafstandptekstGaramond"/>
            </w:pPr>
          </w:p>
          <w:p w:rsidR="00AC673D" w:rsidRDefault="00AC673D" w:rsidP="001A1477">
            <w:pPr>
              <w:pStyle w:val="Tabel-BrdtekstmedafstandptekstGaramond"/>
            </w:pPr>
          </w:p>
          <w:p w:rsidR="00AC673D" w:rsidRDefault="00AC673D" w:rsidP="001A1477">
            <w:pPr>
              <w:pStyle w:val="Tabel-BrdtekstmedafstandptekstGaramond"/>
            </w:pPr>
          </w:p>
          <w:p w:rsidR="00AC673D" w:rsidRDefault="00AC673D" w:rsidP="001A1477">
            <w:pPr>
              <w:pStyle w:val="Tabel-BrdtekstmedafstandptekstGaramond"/>
            </w:pPr>
          </w:p>
          <w:p w:rsidR="009731DE" w:rsidRDefault="009731DE" w:rsidP="001A1477">
            <w:pPr>
              <w:pStyle w:val="Tabel-BrdtekstmedafstandptekstGaramond"/>
            </w:pPr>
          </w:p>
          <w:p w:rsidR="00FD5950" w:rsidRDefault="00FD5950" w:rsidP="001A1477">
            <w:pPr>
              <w:pStyle w:val="Tabel-BrdtekstmedafstandptekstGaramond"/>
            </w:pPr>
          </w:p>
          <w:p w:rsidR="00FD5950" w:rsidRDefault="00CE37DA" w:rsidP="001A1477">
            <w:pPr>
              <w:pStyle w:val="Tabel-BrdtekstmedafstandptekstGaramond"/>
            </w:pPr>
            <w:r>
              <w:t>Der henvises til kommentaren til FSR.</w:t>
            </w:r>
          </w:p>
          <w:p w:rsidR="00FD5950" w:rsidRDefault="00FD5950" w:rsidP="001A1477">
            <w:pPr>
              <w:pStyle w:val="Tabel-BrdtekstmedafstandptekstGaramond"/>
            </w:pPr>
          </w:p>
          <w:p w:rsidR="00FD5950" w:rsidRDefault="00FD5950" w:rsidP="001A1477">
            <w:pPr>
              <w:pStyle w:val="Tabel-BrdtekstmedafstandptekstGaramond"/>
            </w:pPr>
          </w:p>
          <w:p w:rsidR="00FD5950" w:rsidRDefault="00FD5950" w:rsidP="001A1477">
            <w:pPr>
              <w:pStyle w:val="Tabel-BrdtekstmedafstandptekstGaramond"/>
            </w:pPr>
          </w:p>
          <w:p w:rsidR="00FD5950" w:rsidRDefault="00FD5950" w:rsidP="001A1477">
            <w:pPr>
              <w:pStyle w:val="Tabel-BrdtekstmedafstandptekstGaramond"/>
            </w:pPr>
          </w:p>
          <w:p w:rsidR="00CE37DA" w:rsidRDefault="001859C9" w:rsidP="001A1477">
            <w:pPr>
              <w:pStyle w:val="Tabel-BrdtekstmedafstandptekstGaramond"/>
            </w:pPr>
            <w:r>
              <w:t>Ved e</w:t>
            </w:r>
            <w:r w:rsidR="00EE3693">
              <w:t>n objektiv analyse</w:t>
            </w:r>
            <w:r>
              <w:t xml:space="preserve"> forstås en analyse, som udelukkende bygger på eller tager hensyn til de </w:t>
            </w:r>
            <w:r w:rsidR="00EE3693">
              <w:t>relevante</w:t>
            </w:r>
            <w:r>
              <w:t xml:space="preserve"> fa</w:t>
            </w:r>
            <w:r>
              <w:t>k</w:t>
            </w:r>
            <w:r>
              <w:t>tiske</w:t>
            </w:r>
            <w:r w:rsidR="00EE3693">
              <w:t xml:space="preserve"> forhold og omstændigheder.</w:t>
            </w:r>
          </w:p>
          <w:p w:rsidR="00CE37DA" w:rsidRDefault="00CE37DA" w:rsidP="001A1477">
            <w:pPr>
              <w:pStyle w:val="Tabel-BrdtekstmedafstandptekstGaramond"/>
            </w:pPr>
          </w:p>
          <w:p w:rsidR="00CE37DA" w:rsidRDefault="00CE37DA" w:rsidP="001A1477">
            <w:pPr>
              <w:pStyle w:val="Tabel-BrdtekstmedafstandptekstGaramond"/>
            </w:pPr>
          </w:p>
          <w:p w:rsidR="00CE37DA" w:rsidRDefault="00CE37DA" w:rsidP="001A1477">
            <w:pPr>
              <w:pStyle w:val="Tabel-BrdtekstmedafstandptekstGaramond"/>
            </w:pPr>
          </w:p>
          <w:p w:rsidR="00CE37DA" w:rsidRDefault="00CE37DA" w:rsidP="001A1477">
            <w:pPr>
              <w:pStyle w:val="Tabel-BrdtekstmedafstandptekstGaramond"/>
            </w:pPr>
          </w:p>
          <w:p w:rsidR="00CE37DA" w:rsidRDefault="00CE37DA" w:rsidP="001A1477">
            <w:pPr>
              <w:pStyle w:val="Tabel-BrdtekstmedafstandptekstGaramond"/>
            </w:pPr>
          </w:p>
          <w:p w:rsidR="00CE37DA" w:rsidRDefault="00CE37DA" w:rsidP="001A1477">
            <w:pPr>
              <w:pStyle w:val="Tabel-BrdtekstmedafstandptekstGaramond"/>
            </w:pPr>
          </w:p>
          <w:p w:rsidR="00CE37DA" w:rsidRDefault="00CE37DA" w:rsidP="001A1477">
            <w:pPr>
              <w:pStyle w:val="Tabel-BrdtekstmedafstandptekstGaramond"/>
            </w:pPr>
          </w:p>
          <w:p w:rsidR="009731DE" w:rsidRDefault="009731DE" w:rsidP="001A1477">
            <w:pPr>
              <w:pStyle w:val="Tabel-BrdtekstmedafstandptekstGaramond"/>
            </w:pPr>
          </w:p>
          <w:p w:rsidR="00CE37DA" w:rsidRDefault="00CE37DA" w:rsidP="0011681B">
            <w:pPr>
              <w:pStyle w:val="Tabel-BrdtekstmedafstandptekstGaramond"/>
            </w:pPr>
          </w:p>
          <w:p w:rsidR="00CE37DA" w:rsidRDefault="00CE37DA" w:rsidP="0011681B">
            <w:pPr>
              <w:pStyle w:val="Tabel-BrdtekstmedafstandptekstGaramond"/>
            </w:pPr>
          </w:p>
          <w:p w:rsidR="00290603" w:rsidRDefault="00290603" w:rsidP="0011681B">
            <w:pPr>
              <w:pStyle w:val="Tabel-BrdtekstmedafstandptekstGaramond"/>
            </w:pPr>
          </w:p>
          <w:p w:rsidR="00290603" w:rsidRDefault="00290603" w:rsidP="0011681B">
            <w:pPr>
              <w:pStyle w:val="Tabel-BrdtekstmedafstandptekstGaramond"/>
            </w:pPr>
          </w:p>
          <w:p w:rsidR="00290603" w:rsidRDefault="00290603" w:rsidP="0011681B">
            <w:pPr>
              <w:pStyle w:val="Tabel-BrdtekstmedafstandptekstGaramond"/>
            </w:pPr>
          </w:p>
          <w:p w:rsidR="00CE37DA" w:rsidRDefault="00CE37DA" w:rsidP="0011681B">
            <w:pPr>
              <w:pStyle w:val="Tabel-BrdtekstmedafstandptekstGaramond"/>
            </w:pPr>
          </w:p>
          <w:p w:rsidR="009731DE" w:rsidRDefault="009731DE" w:rsidP="0011681B">
            <w:pPr>
              <w:pStyle w:val="Tabel-BrdtekstmedafstandptekstGaramond"/>
            </w:pPr>
            <w:r>
              <w:t>Der henvises til kommentarerne til</w:t>
            </w:r>
            <w:r w:rsidR="00365201">
              <w:t xml:space="preserve"> </w:t>
            </w:r>
            <w:r w:rsidR="005004E8">
              <w:t xml:space="preserve">Advokatrådet, </w:t>
            </w:r>
            <w:r w:rsidR="00365201">
              <w:t>FSR</w:t>
            </w:r>
            <w:r w:rsidR="00890B52">
              <w:t xml:space="preserve"> og</w:t>
            </w:r>
            <w:r>
              <w:t xml:space="preserve"> </w:t>
            </w:r>
            <w:r w:rsidR="00890B52">
              <w:t>p</w:t>
            </w:r>
            <w:r>
              <w:t>rofessor Rasmus Feldthusen.</w:t>
            </w:r>
          </w:p>
        </w:tc>
      </w:tr>
      <w:tr w:rsidR="00F74267" w:rsidRPr="00B5346F" w:rsidTr="005004E8">
        <w:tc>
          <w:tcPr>
            <w:tcW w:w="2093" w:type="dxa"/>
            <w:tcBorders>
              <w:top w:val="single" w:sz="4" w:space="0" w:color="D1C5C3" w:themeColor="accent3"/>
              <w:bottom w:val="single" w:sz="4" w:space="0" w:color="D1C5C3" w:themeColor="accent3"/>
            </w:tcBorders>
            <w:shd w:val="clear" w:color="auto" w:fill="FBF9F9"/>
          </w:tcPr>
          <w:p w:rsidR="00F74267" w:rsidRDefault="00F74267" w:rsidP="00F93558">
            <w:pPr>
              <w:pStyle w:val="Tabel-BrdtekstmedafstandptekstGaramond"/>
              <w:rPr>
                <w:i/>
              </w:rPr>
            </w:pPr>
            <w:r>
              <w:rPr>
                <w:i/>
              </w:rPr>
              <w:lastRenderedPageBreak/>
              <w:t xml:space="preserve">Forsikring og </w:t>
            </w:r>
            <w:r w:rsidR="00F93558">
              <w:rPr>
                <w:i/>
              </w:rPr>
              <w:t>P</w:t>
            </w:r>
            <w:r>
              <w:rPr>
                <w:i/>
              </w:rPr>
              <w:t>ens</w:t>
            </w:r>
            <w:r>
              <w:rPr>
                <w:i/>
              </w:rPr>
              <w:t>i</w:t>
            </w:r>
            <w:r>
              <w:rPr>
                <w:i/>
              </w:rPr>
              <w:t>on</w:t>
            </w:r>
          </w:p>
        </w:tc>
        <w:tc>
          <w:tcPr>
            <w:tcW w:w="104" w:type="dxa"/>
            <w:shd w:val="clear" w:color="auto" w:fill="FFFFFF" w:themeFill="background1"/>
          </w:tcPr>
          <w:p w:rsidR="00F74267" w:rsidRPr="00B5346F" w:rsidRDefault="00F74267" w:rsidP="001A1477"/>
        </w:tc>
        <w:tc>
          <w:tcPr>
            <w:tcW w:w="3665" w:type="dxa"/>
            <w:tcBorders>
              <w:top w:val="single" w:sz="4" w:space="0" w:color="D1C5C3" w:themeColor="accent3"/>
              <w:bottom w:val="single" w:sz="4" w:space="0" w:color="D1C5C3" w:themeColor="accent3"/>
            </w:tcBorders>
            <w:shd w:val="clear" w:color="auto" w:fill="FBF9F9"/>
          </w:tcPr>
          <w:p w:rsidR="00AD4AF0" w:rsidRDefault="00AD4AF0" w:rsidP="009731DE">
            <w:pPr>
              <w:pStyle w:val="Tabel-BrdtekstmedafstandptekstGaramond"/>
            </w:pPr>
            <w:r>
              <w:t xml:space="preserve">F&amp;P kan støtte det overordnede sigte med lovforslaget. </w:t>
            </w:r>
          </w:p>
          <w:p w:rsidR="00AD4AF0" w:rsidRDefault="00AD4AF0" w:rsidP="009731DE">
            <w:pPr>
              <w:pStyle w:val="Tabel-BrdtekstmedafstandptekstGaramond"/>
            </w:pPr>
          </w:p>
          <w:p w:rsidR="00F74267" w:rsidRPr="00B5346F" w:rsidRDefault="00AD4AF0" w:rsidP="009731DE">
            <w:pPr>
              <w:pStyle w:val="Tabel-BrdtekstmedafstandptekstGaramond"/>
            </w:pPr>
            <w:r>
              <w:t>De har dog ikke taget stilling til fo</w:t>
            </w:r>
            <w:r>
              <w:t>r</w:t>
            </w:r>
            <w:r>
              <w:t>slagets konkrete indhold.</w:t>
            </w:r>
          </w:p>
        </w:tc>
        <w:tc>
          <w:tcPr>
            <w:tcW w:w="112" w:type="dxa"/>
            <w:shd w:val="clear" w:color="auto" w:fill="FFFFFF" w:themeFill="background1"/>
          </w:tcPr>
          <w:p w:rsidR="00F74267" w:rsidRPr="00B5346F" w:rsidRDefault="00F74267" w:rsidP="001A1477"/>
        </w:tc>
        <w:tc>
          <w:tcPr>
            <w:tcW w:w="3665" w:type="dxa"/>
            <w:tcBorders>
              <w:top w:val="single" w:sz="4" w:space="0" w:color="14143C" w:themeColor="accent1"/>
              <w:bottom w:val="single" w:sz="4" w:space="0" w:color="14143C" w:themeColor="accent1"/>
            </w:tcBorders>
            <w:shd w:val="clear" w:color="auto" w:fill="D2CED8"/>
          </w:tcPr>
          <w:p w:rsidR="00F74267" w:rsidRPr="00B5346F" w:rsidRDefault="00F74267" w:rsidP="001A1477">
            <w:pPr>
              <w:pStyle w:val="Tabel-BrdtekstmedafstandptekstGaramond"/>
            </w:pPr>
          </w:p>
        </w:tc>
      </w:tr>
      <w:tr w:rsidR="00C236D4" w:rsidRPr="00B5346F" w:rsidTr="005004E8">
        <w:tc>
          <w:tcPr>
            <w:tcW w:w="2093" w:type="dxa"/>
            <w:tcBorders>
              <w:top w:val="single" w:sz="4" w:space="0" w:color="D1C5C3" w:themeColor="accent3"/>
              <w:bottom w:val="single" w:sz="4" w:space="0" w:color="D1C5C3" w:themeColor="accent3"/>
            </w:tcBorders>
            <w:shd w:val="clear" w:color="auto" w:fill="FBF9F9"/>
          </w:tcPr>
          <w:p w:rsidR="00C236D4" w:rsidRDefault="00C236D4" w:rsidP="00F93558">
            <w:pPr>
              <w:pStyle w:val="Tabel-BrdtekstmedafstandptekstGaramond"/>
              <w:rPr>
                <w:i/>
              </w:rPr>
            </w:pPr>
            <w:r>
              <w:rPr>
                <w:i/>
              </w:rPr>
              <w:t>FSR-danske revis</w:t>
            </w:r>
            <w:r>
              <w:rPr>
                <w:i/>
              </w:rPr>
              <w:t>o</w:t>
            </w:r>
            <w:r>
              <w:rPr>
                <w:i/>
              </w:rPr>
              <w:t>rer</w:t>
            </w:r>
          </w:p>
        </w:tc>
        <w:tc>
          <w:tcPr>
            <w:tcW w:w="104" w:type="dxa"/>
            <w:shd w:val="clear" w:color="auto" w:fill="FFFFFF" w:themeFill="background1"/>
          </w:tcPr>
          <w:p w:rsidR="00C236D4" w:rsidRPr="00B5346F" w:rsidRDefault="00C236D4" w:rsidP="001A1477"/>
        </w:tc>
        <w:tc>
          <w:tcPr>
            <w:tcW w:w="3665" w:type="dxa"/>
            <w:tcBorders>
              <w:top w:val="single" w:sz="4" w:space="0" w:color="D1C5C3" w:themeColor="accent3"/>
              <w:bottom w:val="single" w:sz="4" w:space="0" w:color="D1C5C3" w:themeColor="accent3"/>
            </w:tcBorders>
            <w:shd w:val="clear" w:color="auto" w:fill="FBF9F9"/>
          </w:tcPr>
          <w:p w:rsidR="00C236D4" w:rsidRPr="00C236D4" w:rsidRDefault="00C236D4" w:rsidP="00C236D4">
            <w:pPr>
              <w:pStyle w:val="Tabel-BrdtekstmedafstandptekstGaramond"/>
              <w:rPr>
                <w:u w:val="single"/>
              </w:rPr>
            </w:pPr>
            <w:r>
              <w:rPr>
                <w:u w:val="single"/>
              </w:rPr>
              <w:t>International omgåelsesklausul</w:t>
            </w:r>
          </w:p>
          <w:p w:rsidR="00C236D4" w:rsidRPr="00C236D4" w:rsidRDefault="00C236D4" w:rsidP="00C236D4">
            <w:pPr>
              <w:pStyle w:val="Tabel-BrdtekstmedafstandptekstGaramond"/>
            </w:pPr>
            <w:r w:rsidRPr="00C236D4">
              <w:t>FSR bemærke</w:t>
            </w:r>
            <w:r>
              <w:t>r</w:t>
            </w:r>
            <w:r w:rsidRPr="00C236D4">
              <w:t>, at formuleringen af den foreslåede bestemmelse er meget bred og generel, samt at ordlyden af bestemmelsen og bemærkningerne til udkastet til lovforslaget kun giver b</w:t>
            </w:r>
            <w:r w:rsidRPr="00C236D4">
              <w:t>e</w:t>
            </w:r>
            <w:r w:rsidRPr="00C236D4">
              <w:t>grænset støtte til fortolkning og a</w:t>
            </w:r>
            <w:r w:rsidRPr="00C236D4">
              <w:t>n</w:t>
            </w:r>
            <w:r w:rsidRPr="00C236D4">
              <w:t>vendelse af reglerne i praksis. SKAT tillægges derigennem en meget bred fortolkningsmulighed og vidtgående kompetencer til at se bort fra ellers j</w:t>
            </w:r>
            <w:r w:rsidRPr="00C236D4">
              <w:t>u</w:t>
            </w:r>
            <w:r w:rsidRPr="00C236D4">
              <w:t>ridisk gyldige transaktioner og stru</w:t>
            </w:r>
            <w:r w:rsidRPr="00C236D4">
              <w:t>k</w:t>
            </w:r>
            <w:r w:rsidRPr="00C236D4">
              <w:t xml:space="preserve">turer. Det er </w:t>
            </w:r>
            <w:proofErr w:type="spellStart"/>
            <w:r w:rsidR="009922E3">
              <w:t>FSRs</w:t>
            </w:r>
            <w:proofErr w:type="spellEnd"/>
            <w:r w:rsidRPr="00C236D4">
              <w:t xml:space="preserve"> bekymring, at o</w:t>
            </w:r>
            <w:r w:rsidRPr="00C236D4">
              <w:t>m</w:t>
            </w:r>
            <w:r w:rsidRPr="00C236D4">
              <w:t>gåelsesklausulen vil give anledning til usikkerhed ved fortolkning og anve</w:t>
            </w:r>
            <w:r w:rsidRPr="00C236D4">
              <w:t>n</w:t>
            </w:r>
            <w:r w:rsidRPr="00C236D4">
              <w:t>delse af bestemmelsen, hvilket vil skade virksomhedernes retssikkerhed væsentligt. Der er således risiko for, at SKAT grundet den brede formulering vil føle sig nødsaget til at prøve græ</w:t>
            </w:r>
            <w:r w:rsidRPr="00C236D4">
              <w:t>n</w:t>
            </w:r>
            <w:r w:rsidRPr="00C236D4">
              <w:t xml:space="preserve">ser for bestemmelserne af, hvilket vil føre til en lang række sager. </w:t>
            </w:r>
          </w:p>
          <w:p w:rsidR="00C236D4" w:rsidRDefault="00C236D4" w:rsidP="009731DE">
            <w:pPr>
              <w:pStyle w:val="Tabel-BrdtekstmedafstandptekstGaramond"/>
            </w:pPr>
          </w:p>
          <w:p w:rsidR="00EE7F86" w:rsidRDefault="002533DC" w:rsidP="009922E3">
            <w:pPr>
              <w:pStyle w:val="Tabel-BrdtekstmedafstandptekstGaramond"/>
            </w:pPr>
            <w:r>
              <w:t>FSR finder det betænkeligt, at omg</w:t>
            </w:r>
            <w:r>
              <w:t>å</w:t>
            </w:r>
            <w:r>
              <w:t>elsesklausulerne</w:t>
            </w:r>
            <w:r w:rsidR="00F44639">
              <w:t xml:space="preserve"> vedrørende direkt</w:t>
            </w:r>
            <w:r w:rsidR="00F44639">
              <w:t>i</w:t>
            </w:r>
            <w:r w:rsidR="00F44639">
              <w:t>verne og dobbeltbeskatningsoveren</w:t>
            </w:r>
            <w:r w:rsidR="00F44639">
              <w:t>s</w:t>
            </w:r>
            <w:r w:rsidR="00F44639">
              <w:t>komsterne</w:t>
            </w:r>
            <w:r w:rsidR="009922E3">
              <w:t xml:space="preserve"> er formuleret forskelligt, da man herefter er overladt til do</w:t>
            </w:r>
            <w:r w:rsidR="009922E3">
              <w:t>m</w:t>
            </w:r>
            <w:r w:rsidR="009922E3">
              <w:lastRenderedPageBreak/>
              <w:t xml:space="preserve">stolene </w:t>
            </w:r>
            <w:r w:rsidR="00676DDA">
              <w:t xml:space="preserve">for </w:t>
            </w:r>
            <w:r w:rsidR="009922E3">
              <w:t>at få fastlagt retstilstanden i stedet for en afklaring via lovgi</w:t>
            </w:r>
            <w:r w:rsidR="009922E3">
              <w:t>v</w:t>
            </w:r>
            <w:r w:rsidR="009922E3">
              <w:t xml:space="preserve">ning. </w:t>
            </w:r>
          </w:p>
          <w:p w:rsidR="00D2148B" w:rsidRDefault="00D2148B" w:rsidP="009922E3">
            <w:pPr>
              <w:pStyle w:val="Tabel-BrdtekstmedafstandptekstGaramond"/>
            </w:pPr>
          </w:p>
          <w:p w:rsidR="00D2148B" w:rsidRDefault="00D2148B" w:rsidP="00D2148B">
            <w:pPr>
              <w:pStyle w:val="Tabel-BrdtekstmedafstandptekstGaramond"/>
            </w:pPr>
          </w:p>
          <w:p w:rsidR="00D2148B" w:rsidRDefault="00D2148B" w:rsidP="00D2148B">
            <w:pPr>
              <w:pStyle w:val="Tabel-BrdtekstmedafstandptekstGaramond"/>
            </w:pPr>
          </w:p>
          <w:p w:rsidR="00D2148B" w:rsidRDefault="00D2148B" w:rsidP="00D2148B">
            <w:pPr>
              <w:pStyle w:val="Tabel-BrdtekstmedafstandptekstGaramond"/>
            </w:pPr>
          </w:p>
          <w:p w:rsidR="00D2148B" w:rsidRDefault="00D2148B" w:rsidP="00D2148B">
            <w:pPr>
              <w:pStyle w:val="Tabel-BrdtekstmedafstandptekstGaramond"/>
            </w:pPr>
          </w:p>
          <w:p w:rsidR="0034146E" w:rsidRDefault="0034146E" w:rsidP="006B433E">
            <w:pPr>
              <w:pStyle w:val="Tabel-BrdtekstmedafstandptekstGaramond"/>
              <w:ind w:left="0"/>
            </w:pPr>
          </w:p>
          <w:p w:rsidR="00503D38" w:rsidRDefault="00503D38" w:rsidP="00B24315">
            <w:pPr>
              <w:pStyle w:val="Tabel-BrdtekstmedafstandptekstGaramond"/>
            </w:pPr>
          </w:p>
          <w:p w:rsidR="00CF3297" w:rsidRDefault="00CF3297" w:rsidP="00B24315">
            <w:pPr>
              <w:pStyle w:val="Tabel-BrdtekstmedafstandptekstGaramond"/>
            </w:pPr>
          </w:p>
          <w:p w:rsidR="00CF3297" w:rsidRDefault="00CF3297" w:rsidP="00B24315">
            <w:pPr>
              <w:pStyle w:val="Tabel-BrdtekstmedafstandptekstGaramond"/>
            </w:pPr>
          </w:p>
          <w:p w:rsidR="00CF3297" w:rsidRDefault="00CF3297" w:rsidP="00B24315">
            <w:pPr>
              <w:pStyle w:val="Tabel-BrdtekstmedafstandptekstGaramond"/>
            </w:pPr>
          </w:p>
          <w:p w:rsidR="00CF3297" w:rsidRDefault="00CF3297" w:rsidP="00B24315">
            <w:pPr>
              <w:pStyle w:val="Tabel-BrdtekstmedafstandptekstGaramond"/>
            </w:pPr>
          </w:p>
          <w:p w:rsidR="00D2148B" w:rsidRDefault="00D2148B" w:rsidP="00B24315">
            <w:pPr>
              <w:pStyle w:val="Tabel-BrdtekstmedafstandptekstGaramond"/>
            </w:pPr>
            <w:r>
              <w:t xml:space="preserve">FSR </w:t>
            </w:r>
            <w:r w:rsidR="00B24315">
              <w:t>vil gerne have Skatteministeriets kommentar til</w:t>
            </w:r>
            <w:r>
              <w:t>, hvem der har bevi</w:t>
            </w:r>
            <w:r>
              <w:t>s</w:t>
            </w:r>
            <w:r>
              <w:t>byrden for hvad i henhold til de for</w:t>
            </w:r>
            <w:r>
              <w:t>e</w:t>
            </w:r>
            <w:r>
              <w:t>slåede omgåelsesklausuler.</w:t>
            </w: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B24315" w:rsidRDefault="00B24315" w:rsidP="00B24315">
            <w:pPr>
              <w:pStyle w:val="Tabel-BrdtekstmedafstandptekstGaramond"/>
            </w:pPr>
          </w:p>
          <w:p w:rsidR="0034146E" w:rsidRDefault="0034146E"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AB013B" w:rsidRDefault="00AB013B" w:rsidP="00B24315">
            <w:pPr>
              <w:pStyle w:val="Tabel-BrdtekstmedafstandptekstGaramond"/>
            </w:pPr>
          </w:p>
          <w:p w:rsidR="0024673C" w:rsidRDefault="00B24315" w:rsidP="00B24315">
            <w:pPr>
              <w:pStyle w:val="Tabel-BrdtekstmedafstandptekstGaramond"/>
            </w:pPr>
            <w:r>
              <w:t>FSR anfører, at ikrafttrædelsesb</w:t>
            </w:r>
            <w:r>
              <w:t>e</w:t>
            </w:r>
            <w:r>
              <w:t>stemmelsen</w:t>
            </w:r>
            <w:r w:rsidR="009F4FF8">
              <w:t>s</w:t>
            </w:r>
            <w:r>
              <w:t xml:space="preserve"> formulering indebærer, at omgåelsesklausulen gives tilbag</w:t>
            </w:r>
            <w:r>
              <w:t>e</w:t>
            </w:r>
            <w:r>
              <w:t>virkende kraft, da man rammer aller</w:t>
            </w:r>
            <w:r>
              <w:t>e</w:t>
            </w:r>
            <w:r>
              <w:t xml:space="preserve">de gennemførte dispositioner. Dette anses for retssikkerhedsmæssigt </w:t>
            </w:r>
            <w:r w:rsidR="007A1C8C">
              <w:t>pr</w:t>
            </w:r>
            <w:r w:rsidR="007A1C8C">
              <w:t>o</w:t>
            </w:r>
            <w:r w:rsidR="007A1C8C">
              <w:t>blematisk, da det bl.a. vil være nø</w:t>
            </w:r>
            <w:r w:rsidR="007A1C8C">
              <w:t>d</w:t>
            </w:r>
            <w:r w:rsidR="007A1C8C">
              <w:t>vendigt at foretage en vurdering af hensigten med den oprindelige tran</w:t>
            </w:r>
            <w:r w:rsidR="007A1C8C">
              <w:t>s</w:t>
            </w:r>
            <w:r w:rsidR="007A1C8C">
              <w:t>aktion, der kan være foretaget for mange år siden.</w:t>
            </w:r>
          </w:p>
          <w:p w:rsidR="0024673C" w:rsidRDefault="0024673C" w:rsidP="00B24315">
            <w:pPr>
              <w:pStyle w:val="Tabel-BrdtekstmedafstandptekstGaramond"/>
            </w:pPr>
          </w:p>
          <w:p w:rsidR="0024673C" w:rsidRDefault="0024673C" w:rsidP="00B24315">
            <w:pPr>
              <w:pStyle w:val="Tabel-BrdtekstmedafstandptekstGaramond"/>
            </w:pPr>
          </w:p>
          <w:p w:rsidR="0024673C" w:rsidRDefault="0024673C" w:rsidP="00B24315">
            <w:pPr>
              <w:pStyle w:val="Tabel-BrdtekstmedafstandptekstGaramond"/>
            </w:pPr>
          </w:p>
          <w:p w:rsidR="009729F2" w:rsidRDefault="009729F2" w:rsidP="0024673C">
            <w:pPr>
              <w:pStyle w:val="Tabel-BrdtekstmedafstandptekstGaramond"/>
            </w:pPr>
          </w:p>
          <w:p w:rsidR="009729F2" w:rsidRDefault="009729F2" w:rsidP="0024673C">
            <w:pPr>
              <w:pStyle w:val="Tabel-BrdtekstmedafstandptekstGaramond"/>
            </w:pPr>
          </w:p>
          <w:p w:rsidR="0024673C" w:rsidRDefault="0024673C" w:rsidP="0024673C">
            <w:pPr>
              <w:pStyle w:val="Tabel-BrdtekstmedafstandptekstGaramond"/>
            </w:pPr>
            <w:r>
              <w:t>Skatteministeriet bedes bekræfte, at o</w:t>
            </w:r>
            <w:r w:rsidRPr="0024673C">
              <w:t>mgåelsesklausulen vedrørende EU-direktiverne ses at være en direkte ordret implementering af den omgåe</w:t>
            </w:r>
            <w:r w:rsidRPr="0024673C">
              <w:t>l</w:t>
            </w:r>
            <w:r w:rsidRPr="0024673C">
              <w:t>sesklausul, der indsættes i moder-/datterselskabsdirektivet, og som e</w:t>
            </w:r>
            <w:r w:rsidRPr="0024673C">
              <w:t>f</w:t>
            </w:r>
            <w:r w:rsidRPr="0024673C">
              <w:t xml:space="preserve">ter </w:t>
            </w:r>
            <w:proofErr w:type="spellStart"/>
            <w:r w:rsidRPr="0024673C">
              <w:t>FSRs</w:t>
            </w:r>
            <w:proofErr w:type="spellEnd"/>
            <w:r w:rsidRPr="0024673C">
              <w:t xml:space="preserve"> opfattelse må antages at bygge på den EU-retlige misbrug</w:t>
            </w:r>
            <w:r w:rsidRPr="0024673C">
              <w:t>s</w:t>
            </w:r>
            <w:r w:rsidRPr="0024673C">
              <w:t>doktrin, der er udviklet i EU-domstolens praksis.</w:t>
            </w:r>
          </w:p>
          <w:p w:rsidR="0024673C" w:rsidRDefault="0024673C" w:rsidP="0024673C">
            <w:pPr>
              <w:pStyle w:val="Tabel-BrdtekstmedafstandptekstGaramond"/>
            </w:pPr>
          </w:p>
          <w:p w:rsidR="0024673C" w:rsidRPr="0024673C" w:rsidRDefault="0024673C" w:rsidP="0024673C">
            <w:pPr>
              <w:pStyle w:val="Tabel-BrdtekstmedafstandptekstGaramond"/>
            </w:pPr>
            <w:r w:rsidRPr="0024673C">
              <w:t xml:space="preserve">På nuværende tidspunkt har OECD </w:t>
            </w:r>
            <w:r w:rsidRPr="0024673C">
              <w:lastRenderedPageBreak/>
              <w:t>ikke afsluttet sit arbejde, og dermed er OECD’s formulering af en omgåe</w:t>
            </w:r>
            <w:r w:rsidRPr="0024673C">
              <w:t>l</w:t>
            </w:r>
            <w:r w:rsidRPr="0024673C">
              <w:t>sesklausul endnu ikke endelig. FSR antager, at en eventuel ændring af OECD’s formulering af omgåelse</w:t>
            </w:r>
            <w:r w:rsidRPr="0024673C">
              <w:t>s</w:t>
            </w:r>
            <w:r w:rsidRPr="0024673C">
              <w:t xml:space="preserve">klausulen vil blive indarbejdet i den foreslåede bestemmelse i </w:t>
            </w:r>
            <w:r w:rsidR="00660317">
              <w:t>ligningsl</w:t>
            </w:r>
            <w:r w:rsidR="00660317">
              <w:t>o</w:t>
            </w:r>
            <w:r w:rsidR="00660317">
              <w:t xml:space="preserve">vens § 3, </w:t>
            </w:r>
            <w:r w:rsidRPr="0024673C">
              <w:t>stk. 3.</w:t>
            </w:r>
          </w:p>
          <w:p w:rsidR="0045136B" w:rsidRDefault="0045136B" w:rsidP="00494F29">
            <w:pPr>
              <w:pStyle w:val="Tabel-BrdtekstmedafstandptekstGaramond"/>
            </w:pPr>
          </w:p>
          <w:p w:rsidR="00B24315" w:rsidRDefault="00494F29" w:rsidP="00494F29">
            <w:pPr>
              <w:pStyle w:val="Tabel-BrdtekstmedafstandptekstGaramond"/>
            </w:pPr>
            <w:r>
              <w:t>FSR anfører, at særligt omgåelseskla</w:t>
            </w:r>
            <w:r>
              <w:t>u</w:t>
            </w:r>
            <w:r>
              <w:t>sulen vedrørende direktiverne ind</w:t>
            </w:r>
            <w:r>
              <w:t>e</w:t>
            </w:r>
            <w:r>
              <w:t>bærer, at det i væsentlig omfang ove</w:t>
            </w:r>
            <w:r>
              <w:t>r</w:t>
            </w:r>
            <w:r>
              <w:t>lades til EU-domstolen at fastlægge rækkevidden af den danske omgåe</w:t>
            </w:r>
            <w:r>
              <w:t>l</w:t>
            </w:r>
            <w:r>
              <w:t xml:space="preserve">sesklausul. Dette er typisk en meget langvarig proces, hvilket indebærer en lang periode med række usikkerheder om forståelsen af reglen. </w:t>
            </w:r>
            <w:r w:rsidRPr="00494F29">
              <w:t>Skattemin</w:t>
            </w:r>
            <w:r w:rsidRPr="00494F29">
              <w:t>i</w:t>
            </w:r>
            <w:r w:rsidRPr="00494F29">
              <w:t>steriet bedes derfor kommentere på, hvorledes disse væsentlige fortol</w:t>
            </w:r>
            <w:r w:rsidRPr="00494F29">
              <w:t>k</w:t>
            </w:r>
            <w:r w:rsidRPr="00494F29">
              <w:t>ningsusikkerheder forventes håndt</w:t>
            </w:r>
            <w:r w:rsidRPr="00494F29">
              <w:t>e</w:t>
            </w:r>
            <w:r w:rsidRPr="00494F29">
              <w:t>ret i praksis</w:t>
            </w:r>
            <w:r w:rsidR="00660317">
              <w:t>,</w:t>
            </w:r>
            <w:r w:rsidRPr="00494F29">
              <w:t xml:space="preserve"> og hvorledes det sikres, at den foreslåede bestemmelse forto</w:t>
            </w:r>
            <w:r w:rsidRPr="00494F29">
              <w:t>l</w:t>
            </w:r>
            <w:r w:rsidRPr="00494F29">
              <w:t>kes i overensstemmelse med EU-retten og EU-domstolens praksis.</w:t>
            </w:r>
            <w:r>
              <w:t xml:space="preserve">  </w:t>
            </w:r>
          </w:p>
          <w:p w:rsidR="00DC0A7E" w:rsidRDefault="00DC0A7E" w:rsidP="00494F29">
            <w:pPr>
              <w:pStyle w:val="Tabel-BrdtekstmedafstandptekstGaramond"/>
            </w:pPr>
          </w:p>
          <w:p w:rsidR="00DC0A7E" w:rsidRPr="00A17C2E" w:rsidRDefault="00A17C2E" w:rsidP="00A17C2E">
            <w:pPr>
              <w:pStyle w:val="Tabel-BrdtekstmedafstandptekstGaramond"/>
            </w:pPr>
            <w:r w:rsidRPr="00A17C2E">
              <w:t>FSR ønsker oplyst, hvorvidt Skatt</w:t>
            </w:r>
            <w:r w:rsidRPr="00A17C2E">
              <w:t>e</w:t>
            </w:r>
            <w:r w:rsidRPr="00A17C2E">
              <w:t xml:space="preserve">ministeriet </w:t>
            </w:r>
            <w:r>
              <w:t xml:space="preserve">er </w:t>
            </w:r>
            <w:r w:rsidRPr="00A17C2E">
              <w:t>bekendt med, hvorledes øvrige EU-lande påtænker at impl</w:t>
            </w:r>
            <w:r w:rsidRPr="00A17C2E">
              <w:t>e</w:t>
            </w:r>
            <w:r w:rsidRPr="00A17C2E">
              <w:t>mentere omgåelsesklausulen i moder-/datterselskabsdirektivet. I forlænge</w:t>
            </w:r>
            <w:r w:rsidRPr="00A17C2E">
              <w:t>l</w:t>
            </w:r>
            <w:r w:rsidRPr="00A17C2E">
              <w:t>se heraf bedes det oplyst, hvorledes fortolknings- og kvalifikationskonfli</w:t>
            </w:r>
            <w:r w:rsidRPr="00A17C2E">
              <w:t>k</w:t>
            </w:r>
            <w:r w:rsidRPr="00A17C2E">
              <w:t>ter mellem Danmark og øvrige lande vil blive håndteret. Hvis der er tale om en anden EU-medlemsstat, må sådanne fortolkningsspørgsmål nø</w:t>
            </w:r>
            <w:r w:rsidRPr="00A17C2E">
              <w:t>d</w:t>
            </w:r>
            <w:r w:rsidRPr="00A17C2E">
              <w:t>vendigvis henvises til EU-domstolen, således at der ikke i strid med EU-retten udvikles forskellige nationale ”varianter” af omgåelsesklausulen.</w:t>
            </w:r>
          </w:p>
          <w:p w:rsidR="00A17C2E" w:rsidRDefault="00A17C2E" w:rsidP="00494F29">
            <w:pPr>
              <w:pStyle w:val="Tabel-BrdtekstmedafstandptekstGaramond"/>
            </w:pPr>
          </w:p>
          <w:p w:rsidR="00760D45" w:rsidRPr="00760D45" w:rsidRDefault="00760D45" w:rsidP="00760D45">
            <w:pPr>
              <w:pStyle w:val="Tabel-BrdtekstmedafstandptekstGaramond"/>
            </w:pPr>
            <w:r>
              <w:t xml:space="preserve">FSR ønsker oplyst, hvorvidt </w:t>
            </w:r>
            <w:r w:rsidRPr="00760D45">
              <w:t>de da</w:t>
            </w:r>
            <w:r w:rsidRPr="00760D45">
              <w:t>n</w:t>
            </w:r>
            <w:r w:rsidRPr="00760D45">
              <w:t xml:space="preserve">ske skattemyndigheder </w:t>
            </w:r>
            <w:r>
              <w:t xml:space="preserve">vil </w:t>
            </w:r>
            <w:r w:rsidRPr="00760D45">
              <w:t>være fo</w:t>
            </w:r>
            <w:r w:rsidRPr="00760D45">
              <w:t>r</w:t>
            </w:r>
            <w:r w:rsidRPr="00760D45">
              <w:lastRenderedPageBreak/>
              <w:t>pligtet til at indgå en gensidig aftale om fortolkning af omgåelsesklausulen i stk. 3, jf. OECD’s modeloveren</w:t>
            </w:r>
            <w:r w:rsidRPr="00760D45">
              <w:t>s</w:t>
            </w:r>
            <w:r w:rsidRPr="00760D45">
              <w:t xml:space="preserve">komst, artikel 25, i situationer, hvor der er tale om en stat uden for EU, hvormed Danmark har indgået en dobbeltbeskatningsoverenskomst? </w:t>
            </w:r>
          </w:p>
          <w:p w:rsidR="00760D45" w:rsidRPr="00760D45" w:rsidRDefault="00760D45" w:rsidP="00760D45">
            <w:pPr>
              <w:pStyle w:val="Tabel-BrdtekstmedafstandptekstGaramond"/>
            </w:pPr>
          </w:p>
          <w:p w:rsidR="00760D45" w:rsidRDefault="00760D45" w:rsidP="00760D45">
            <w:pPr>
              <w:pStyle w:val="Tabel-BrdtekstmedafstandptekstGaramond"/>
            </w:pPr>
            <w:r w:rsidRPr="00760D45">
              <w:t>Inden</w:t>
            </w:r>
            <w:r w:rsidR="00660317">
              <w:t xml:space="preserve"> </w:t>
            </w:r>
            <w:r w:rsidRPr="00760D45">
              <w:t>for EU må voldgiftskonventi</w:t>
            </w:r>
            <w:r w:rsidRPr="00760D45">
              <w:t>o</w:t>
            </w:r>
            <w:r w:rsidRPr="00760D45">
              <w:t>nen antages at få virkning i tilfælde af dobbeltbeskatningssituationer.</w:t>
            </w:r>
          </w:p>
          <w:p w:rsidR="00760D45" w:rsidRDefault="00760D45" w:rsidP="00760D45">
            <w:pPr>
              <w:pStyle w:val="Tabel-BrdtekstmedafstandptekstGaramond"/>
            </w:pPr>
          </w:p>
          <w:p w:rsidR="00503D38" w:rsidRDefault="00503D38" w:rsidP="00760D45">
            <w:pPr>
              <w:pStyle w:val="Tabel-BrdtekstmedafstandptekstGaramond"/>
            </w:pPr>
          </w:p>
          <w:p w:rsidR="00503D38" w:rsidRDefault="00503D38" w:rsidP="00760D45">
            <w:pPr>
              <w:pStyle w:val="Tabel-BrdtekstmedafstandptekstGaramond"/>
            </w:pPr>
          </w:p>
          <w:p w:rsidR="00333AA9" w:rsidRPr="00333AA9" w:rsidRDefault="00333AA9" w:rsidP="00333AA9">
            <w:pPr>
              <w:pStyle w:val="Tabel-BrdtekstmedafstandptekstGaramond"/>
            </w:pPr>
            <w:r w:rsidRPr="00333AA9">
              <w:t>Skatteministeriet bedes oplyse, om fx anmodninger om bindende svar ve</w:t>
            </w:r>
            <w:r w:rsidRPr="00333AA9">
              <w:t>d</w:t>
            </w:r>
            <w:r w:rsidRPr="00333AA9">
              <w:t>rørende fortolkning af omgåelseskla</w:t>
            </w:r>
            <w:r w:rsidRPr="00333AA9">
              <w:t>u</w:t>
            </w:r>
            <w:r w:rsidRPr="00333AA9">
              <w:t>sulen for EU-direktiverne vil blive behandlet af SKAT/Skatterådet, eller om sådanne anmodninger vil blive a</w:t>
            </w:r>
            <w:r w:rsidRPr="00333AA9">
              <w:t>f</w:t>
            </w:r>
            <w:r w:rsidRPr="00333AA9">
              <w:t>vist med henvisning til karakteren af en sådan anmodning, jf. skatteforval</w:t>
            </w:r>
            <w:r w:rsidRPr="00333AA9">
              <w:t>t</w:t>
            </w:r>
            <w:r w:rsidRPr="00333AA9">
              <w:t>ningslovens § 24, stk. 2?</w:t>
            </w:r>
          </w:p>
          <w:p w:rsidR="00760D45" w:rsidRDefault="00760D45"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4B37E1" w:rsidP="00760D45">
            <w:pPr>
              <w:pStyle w:val="Tabel-BrdtekstmedafstandptekstGaramond"/>
            </w:pPr>
          </w:p>
          <w:p w:rsidR="004B37E1" w:rsidRDefault="00E15768" w:rsidP="00E4692C">
            <w:pPr>
              <w:pStyle w:val="Tabel-BrdtekstmedafstandptekstGaramond"/>
            </w:pPr>
            <w:r>
              <w:t>Vedrørende omgåelsesklausulen, der vedrører overenskomster</w:t>
            </w:r>
            <w:r w:rsidR="00E4692C">
              <w:t>,</w:t>
            </w:r>
            <w:r>
              <w:t xml:space="preserve"> bedes Ska</w:t>
            </w:r>
            <w:r>
              <w:t>t</w:t>
            </w:r>
            <w:r>
              <w:t xml:space="preserve">teministeriet kommenterer på, om det vil have indflydelse på vurderingen af omgåelsesklausulen, hvis </w:t>
            </w:r>
            <w:r w:rsidR="00E4692C">
              <w:t>Danmark og aftaleparten ikke er enige om forståe</w:t>
            </w:r>
            <w:r w:rsidR="00E4692C">
              <w:t>l</w:t>
            </w:r>
            <w:r w:rsidR="00E4692C">
              <w:t>sen af overenskomsten.</w:t>
            </w:r>
            <w:r>
              <w:t xml:space="preserve"> </w:t>
            </w:r>
          </w:p>
          <w:p w:rsidR="00E4692C" w:rsidRDefault="00E4692C" w:rsidP="00E4692C">
            <w:pPr>
              <w:pStyle w:val="Tabel-BrdtekstmedafstandptekstGaramond"/>
            </w:pPr>
          </w:p>
          <w:p w:rsidR="00E4692C" w:rsidRDefault="00E4692C" w:rsidP="00E4692C">
            <w:pPr>
              <w:pStyle w:val="Tabel-BrdtekstmedafstandptekstGaramond"/>
            </w:pPr>
            <w:r>
              <w:t>FSR ønsker oplyst, hvilke skattepligt</w:t>
            </w:r>
            <w:r>
              <w:t>i</w:t>
            </w:r>
            <w:r>
              <w:lastRenderedPageBreak/>
              <w:t>ge, der er omfattet af omgåelseskla</w:t>
            </w:r>
            <w:r>
              <w:t>u</w:t>
            </w:r>
            <w:r>
              <w:t xml:space="preserve">sulerne. </w:t>
            </w:r>
          </w:p>
          <w:p w:rsidR="00ED134C" w:rsidRDefault="00ED134C" w:rsidP="00E4692C">
            <w:pPr>
              <w:pStyle w:val="Tabel-BrdtekstmedafstandptekstGaramond"/>
            </w:pPr>
          </w:p>
          <w:p w:rsidR="00ED134C" w:rsidRDefault="00ED134C" w:rsidP="00E4692C">
            <w:pPr>
              <w:pStyle w:val="Tabel-BrdtekstmedafstandptekstGaramond"/>
            </w:pPr>
          </w:p>
          <w:p w:rsidR="00ED134C" w:rsidRDefault="00ED134C" w:rsidP="00E4692C">
            <w:pPr>
              <w:pStyle w:val="Tabel-BrdtekstmedafstandptekstGaramond"/>
            </w:pPr>
          </w:p>
          <w:p w:rsidR="00ED134C" w:rsidRDefault="00ED134C" w:rsidP="00E4692C">
            <w:pPr>
              <w:pStyle w:val="Tabel-BrdtekstmedafstandptekstGaramond"/>
            </w:pPr>
          </w:p>
          <w:p w:rsidR="00ED134C" w:rsidRDefault="00ED134C" w:rsidP="00E4692C">
            <w:pPr>
              <w:pStyle w:val="Tabel-BrdtekstmedafstandptekstGaramond"/>
            </w:pPr>
          </w:p>
          <w:p w:rsidR="00ED134C" w:rsidRDefault="00ED134C" w:rsidP="00E4692C">
            <w:pPr>
              <w:pStyle w:val="Tabel-BrdtekstmedafstandptekstGaramond"/>
            </w:pPr>
          </w:p>
          <w:p w:rsidR="00ED134C" w:rsidRDefault="00445BEA" w:rsidP="00E4692C">
            <w:pPr>
              <w:pStyle w:val="Tabel-BrdtekstmedafstandptekstGaramond"/>
            </w:pPr>
            <w:r w:rsidRPr="00445BEA">
              <w:t xml:space="preserve">Det er </w:t>
            </w:r>
            <w:proofErr w:type="spellStart"/>
            <w:r w:rsidRPr="00445BEA">
              <w:t>FSRs</w:t>
            </w:r>
            <w:proofErr w:type="spellEnd"/>
            <w:r w:rsidRPr="00445BEA">
              <w:t xml:space="preserve"> opfattelse, både for o</w:t>
            </w:r>
            <w:r w:rsidRPr="00445BEA">
              <w:t>m</w:t>
            </w:r>
            <w:r w:rsidRPr="00445BEA">
              <w:t>gåelsesklausulen i</w:t>
            </w:r>
            <w:r w:rsidR="00BE0380">
              <w:t xml:space="preserve"> ligningslovens § 3,</w:t>
            </w:r>
            <w:r w:rsidRPr="00445BEA">
              <w:t xml:space="preserve"> stk. 1 og i stk. 3, at de danske skatt</w:t>
            </w:r>
            <w:r w:rsidRPr="00445BEA">
              <w:t>e</w:t>
            </w:r>
            <w:r w:rsidRPr="00445BEA">
              <w:t>myndigheder kun kan tilsidesæ</w:t>
            </w:r>
            <w:r w:rsidRPr="00445BEA">
              <w:t>t</w:t>
            </w:r>
            <w:r w:rsidRPr="00445BEA">
              <w:t xml:space="preserve">te/nægte en skatteyder en fordel, der opnås i Danmark, da andre stater har mulighed for at tilsidesætte/nægte en skatteyder en fordel i </w:t>
            </w:r>
            <w:r w:rsidR="00BE0380">
              <w:t xml:space="preserve">den </w:t>
            </w:r>
            <w:r w:rsidRPr="00445BEA">
              <w:t xml:space="preserve">pågældende </w:t>
            </w:r>
            <w:r w:rsidR="00BE0380">
              <w:t xml:space="preserve">anden </w:t>
            </w:r>
            <w:r w:rsidRPr="00445BEA">
              <w:t>stat. Skatteministeriet bedes bekræfte, at denne forståelse er ko</w:t>
            </w:r>
            <w:r w:rsidRPr="00445BEA">
              <w:t>r</w:t>
            </w:r>
            <w:r w:rsidRPr="00445BEA">
              <w:t>rekt.</w:t>
            </w:r>
          </w:p>
          <w:p w:rsidR="00445BEA" w:rsidRDefault="00445BEA" w:rsidP="00E4692C">
            <w:pPr>
              <w:pStyle w:val="Tabel-BrdtekstmedafstandptekstGaramond"/>
            </w:pPr>
          </w:p>
          <w:p w:rsidR="00445BEA" w:rsidRDefault="00445BEA" w:rsidP="00E4692C">
            <w:pPr>
              <w:pStyle w:val="Tabel-BrdtekstmedafstandptekstGaramond"/>
            </w:pPr>
            <w:r>
              <w:t>Skatteministeriet bedes præcisere, hvornår et arrangement er reelt.</w:t>
            </w:r>
          </w:p>
          <w:p w:rsidR="00445BEA" w:rsidRDefault="00445BEA" w:rsidP="00E4692C">
            <w:pPr>
              <w:pStyle w:val="Tabel-BrdtekstmedafstandptekstGaramond"/>
            </w:pPr>
          </w:p>
          <w:p w:rsidR="00445BEA" w:rsidRDefault="00445BEA" w:rsidP="00E4692C">
            <w:pPr>
              <w:pStyle w:val="Tabel-BrdtekstmedafstandptekstGaramond"/>
            </w:pPr>
          </w:p>
          <w:p w:rsidR="00445BEA" w:rsidRDefault="00445BEA" w:rsidP="00E4692C">
            <w:pPr>
              <w:pStyle w:val="Tabel-BrdtekstmedafstandptekstGaramond"/>
            </w:pPr>
          </w:p>
          <w:p w:rsidR="00503D38" w:rsidRDefault="00503D38" w:rsidP="00E4692C">
            <w:pPr>
              <w:pStyle w:val="Tabel-BrdtekstmedafstandptekstGaramond"/>
            </w:pPr>
          </w:p>
          <w:p w:rsidR="00445BEA" w:rsidRDefault="00F363B1" w:rsidP="00E4692C">
            <w:pPr>
              <w:pStyle w:val="Tabel-BrdtekstmedafstandptekstGaramond"/>
            </w:pPr>
            <w:r>
              <w:t>FSR hører gerne, om det er korrekt, at der ved vurderingen af ”velbegru</w:t>
            </w:r>
            <w:r>
              <w:t>n</w:t>
            </w:r>
            <w:r>
              <w:t>dede kommercielle årsager” bør ske en vurdering af den samlede koncerns forhold.</w:t>
            </w:r>
          </w:p>
          <w:p w:rsidR="00445BEA" w:rsidRDefault="00445BEA" w:rsidP="00E4692C">
            <w:pPr>
              <w:pStyle w:val="Tabel-BrdtekstmedafstandptekstGaramond"/>
            </w:pPr>
          </w:p>
          <w:p w:rsidR="00F363B1" w:rsidRDefault="00265D43" w:rsidP="00265D43">
            <w:pPr>
              <w:pStyle w:val="Tabel-BrdtekstmedafstandptekstGaramond"/>
            </w:pPr>
            <w:r>
              <w:t>FSR vil gerne vide, hvordan Skatt</w:t>
            </w:r>
            <w:r>
              <w:t>e</w:t>
            </w:r>
            <w:r>
              <w:t>ministeriet forstår ”velbegrundede kommercielle årsager” og ”afspejler den økonomiske virk</w:t>
            </w:r>
            <w:r w:rsidR="00D17306">
              <w:t>e</w:t>
            </w:r>
            <w:r>
              <w:t>lighed”.</w:t>
            </w: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6B2CE2" w:rsidRDefault="006B2CE2" w:rsidP="00265D43">
            <w:pPr>
              <w:pStyle w:val="Tabel-BrdtekstmedafstandptekstGaramond"/>
            </w:pPr>
          </w:p>
          <w:p w:rsidR="00265D43" w:rsidRDefault="00265D43" w:rsidP="00265D43">
            <w:pPr>
              <w:pStyle w:val="Tabel-BrdtekstmedafstandptekstGaramond"/>
            </w:pPr>
          </w:p>
          <w:p w:rsidR="00265D43" w:rsidRDefault="00265D43" w:rsidP="00265D43">
            <w:pPr>
              <w:pStyle w:val="Tabel-BrdtekstmedafstandptekstGaramond"/>
            </w:pPr>
          </w:p>
          <w:p w:rsidR="00DD2AEE" w:rsidRDefault="00DD2AEE" w:rsidP="00265D43">
            <w:pPr>
              <w:pStyle w:val="Tabel-BrdtekstmedafstandptekstGaramond"/>
            </w:pPr>
          </w:p>
          <w:p w:rsidR="00265D43" w:rsidRDefault="00265D43" w:rsidP="00265D43">
            <w:pPr>
              <w:pStyle w:val="Tabel-BrdtekstmedafstandptekstGaramond"/>
            </w:pPr>
            <w:r>
              <w:t>FSR anfører, at for virksomheder er skat en omkostning, som ønskes m</w:t>
            </w:r>
            <w:r>
              <w:t>i</w:t>
            </w:r>
            <w:r>
              <w:t>nimeret inden for lovens rammer. Medfører omgåelsesklausulen, at r</w:t>
            </w:r>
            <w:r>
              <w:t>e</w:t>
            </w:r>
            <w:r>
              <w:t>gelanvendelse kan tilsidesættes, hvo</w:t>
            </w:r>
            <w:r>
              <w:t>r</w:t>
            </w:r>
            <w:r>
              <w:t>ved omgåelsesklausulen har forrang for øvrige regler. Et eksempel kunne være tilskudsreglerne efter selskab</w:t>
            </w:r>
            <w:r>
              <w:t>s</w:t>
            </w:r>
            <w:r>
              <w:t>skattelovens § 31 D.</w:t>
            </w:r>
          </w:p>
          <w:p w:rsidR="00265D43" w:rsidRDefault="00265D43" w:rsidP="00265D43">
            <w:pPr>
              <w:pStyle w:val="Tabel-BrdtekstmedafstandptekstGaramond"/>
            </w:pPr>
          </w:p>
          <w:p w:rsidR="00BB24F3" w:rsidRDefault="00BB24F3" w:rsidP="00265D43">
            <w:pPr>
              <w:pStyle w:val="Tabel-BrdtekstmedafstandptekstGaramond"/>
            </w:pPr>
          </w:p>
          <w:p w:rsidR="00BB24F3" w:rsidRDefault="00BB24F3" w:rsidP="00265D43">
            <w:pPr>
              <w:pStyle w:val="Tabel-BrdtekstmedafstandptekstGaramond"/>
            </w:pPr>
          </w:p>
          <w:p w:rsidR="00BB24F3" w:rsidRDefault="00BB24F3" w:rsidP="00265D43">
            <w:pPr>
              <w:pStyle w:val="Tabel-BrdtekstmedafstandptekstGaramond"/>
            </w:pPr>
          </w:p>
          <w:p w:rsidR="00BB24F3" w:rsidRDefault="00BB24F3" w:rsidP="00265D43">
            <w:pPr>
              <w:pStyle w:val="Tabel-BrdtekstmedafstandptekstGaramond"/>
            </w:pPr>
          </w:p>
          <w:p w:rsidR="00BB24F3" w:rsidRDefault="00BB24F3" w:rsidP="00265D43">
            <w:pPr>
              <w:pStyle w:val="Tabel-BrdtekstmedafstandptekstGaramond"/>
            </w:pPr>
          </w:p>
          <w:p w:rsidR="00265D43" w:rsidRPr="00265D43" w:rsidRDefault="00265D43" w:rsidP="00265D43">
            <w:pPr>
              <w:pStyle w:val="Tabel-BrdtekstmedafstandptekstGaramond"/>
              <w:rPr>
                <w:i/>
              </w:rPr>
            </w:pPr>
            <w:r w:rsidRPr="00265D43">
              <w:t xml:space="preserve">FSR skal bede Skatteministeriet om at beskrive, hvordan </w:t>
            </w:r>
            <w:r w:rsidR="000A3C7B">
              <w:t>”e</w:t>
            </w:r>
            <w:r w:rsidRPr="000A3C7B">
              <w:t>thvert arrang</w:t>
            </w:r>
            <w:r w:rsidRPr="000A3C7B">
              <w:t>e</w:t>
            </w:r>
            <w:r w:rsidRPr="000A3C7B">
              <w:t>ment eller enhver transaktion</w:t>
            </w:r>
            <w:r w:rsidR="000A3C7B">
              <w:t>”</w:t>
            </w:r>
            <w:r w:rsidRPr="00265D43">
              <w:t xml:space="preserve"> skal fortolkes i praksis.</w:t>
            </w:r>
            <w:r w:rsidR="000A3C7B">
              <w:t xml:space="preserve"> Af bemærkninge</w:t>
            </w:r>
            <w:r w:rsidR="000A3C7B">
              <w:t>r</w:t>
            </w:r>
            <w:r w:rsidR="000A3C7B">
              <w:t>ne fremgår det, at det skal fortolkes bredt.</w:t>
            </w:r>
            <w:r w:rsidRPr="00265D43">
              <w:t xml:space="preserve"> Derudover hører FSR ligeledes gerne Skatteministeriets kommentarer til, hvad der skal forstås med formul</w:t>
            </w:r>
            <w:r w:rsidRPr="00265D43">
              <w:t>e</w:t>
            </w:r>
            <w:r w:rsidRPr="00265D43">
              <w:t xml:space="preserve">ringen </w:t>
            </w:r>
            <w:r w:rsidRPr="000A3C7B">
              <w:t>”uanset om de er retsgyldige eller ej”</w:t>
            </w:r>
            <w:r w:rsidRPr="00265D43">
              <w:rPr>
                <w:i/>
              </w:rPr>
              <w:t xml:space="preserve">. </w:t>
            </w:r>
          </w:p>
          <w:p w:rsidR="00265D43" w:rsidRDefault="00265D43" w:rsidP="00265D43">
            <w:pPr>
              <w:pStyle w:val="Tabel-BrdtekstmedafstandptekstGaramond"/>
              <w:rPr>
                <w:i/>
              </w:rPr>
            </w:pPr>
          </w:p>
          <w:p w:rsidR="000A3C7B" w:rsidRDefault="000A3C7B" w:rsidP="00265D43">
            <w:pPr>
              <w:pStyle w:val="Tabel-BrdtekstmedafstandptekstGaramond"/>
              <w:rPr>
                <w:i/>
              </w:rPr>
            </w:pPr>
          </w:p>
          <w:p w:rsidR="000A3C7B" w:rsidRDefault="000A3C7B" w:rsidP="00265D43">
            <w:pPr>
              <w:pStyle w:val="Tabel-BrdtekstmedafstandptekstGaramond"/>
              <w:rPr>
                <w:i/>
              </w:rPr>
            </w:pPr>
          </w:p>
          <w:p w:rsidR="000A3C7B" w:rsidRDefault="000A3C7B" w:rsidP="00265D43">
            <w:pPr>
              <w:pStyle w:val="Tabel-BrdtekstmedafstandptekstGaramond"/>
              <w:rPr>
                <w:i/>
              </w:rPr>
            </w:pPr>
          </w:p>
          <w:p w:rsidR="000A3C7B" w:rsidRDefault="000A3C7B" w:rsidP="00265D43">
            <w:pPr>
              <w:pStyle w:val="Tabel-BrdtekstmedafstandptekstGaramond"/>
              <w:rPr>
                <w:i/>
              </w:rPr>
            </w:pPr>
          </w:p>
          <w:p w:rsidR="000A3C7B" w:rsidRDefault="000A3C7B" w:rsidP="00265D43">
            <w:pPr>
              <w:pStyle w:val="Tabel-BrdtekstmedafstandptekstGaramond"/>
              <w:rPr>
                <w:i/>
              </w:rPr>
            </w:pPr>
          </w:p>
          <w:p w:rsidR="002C1C8E" w:rsidRDefault="002C1C8E" w:rsidP="00265D43">
            <w:pPr>
              <w:pStyle w:val="Tabel-BrdtekstmedafstandptekstGaramond"/>
              <w:rPr>
                <w:i/>
              </w:rPr>
            </w:pPr>
          </w:p>
          <w:p w:rsidR="002C1C8E" w:rsidRDefault="002C1C8E" w:rsidP="00265D43">
            <w:pPr>
              <w:pStyle w:val="Tabel-BrdtekstmedafstandptekstGaramond"/>
              <w:rPr>
                <w:i/>
              </w:rPr>
            </w:pPr>
          </w:p>
          <w:p w:rsidR="002C1C8E" w:rsidRDefault="002C1C8E" w:rsidP="00265D43">
            <w:pPr>
              <w:pStyle w:val="Tabel-BrdtekstmedafstandptekstGaramond"/>
              <w:rPr>
                <w:i/>
              </w:rPr>
            </w:pPr>
          </w:p>
          <w:p w:rsidR="002C1C8E" w:rsidRPr="00265D43" w:rsidRDefault="002C1C8E" w:rsidP="00265D43">
            <w:pPr>
              <w:pStyle w:val="Tabel-BrdtekstmedafstandptekstGaramond"/>
              <w:rPr>
                <w:i/>
              </w:rPr>
            </w:pPr>
          </w:p>
          <w:p w:rsidR="00265D43" w:rsidRDefault="00265D43" w:rsidP="00265D43">
            <w:pPr>
              <w:pStyle w:val="Tabel-BrdtekstmedafstandptekstGaramond"/>
            </w:pPr>
            <w:r w:rsidRPr="00265D43">
              <w:t>Skatteministeriet bedes bekræfte, at anvendelse af den foreslåede omgåe</w:t>
            </w:r>
            <w:r w:rsidRPr="00265D43">
              <w:t>l</w:t>
            </w:r>
            <w:r w:rsidRPr="00265D43">
              <w:t xml:space="preserve">sesklausul alene medfører, at </w:t>
            </w:r>
            <w:r w:rsidR="002C1C8E">
              <w:t xml:space="preserve">den skattepligtige </w:t>
            </w:r>
            <w:r w:rsidRPr="00265D43">
              <w:t>nægtes en fordel efter et direktiv eller en dobbeltbeskatning</w:t>
            </w:r>
            <w:r w:rsidRPr="00265D43">
              <w:t>s</w:t>
            </w:r>
            <w:r w:rsidRPr="00265D43">
              <w:t>overenskomst, men at den pågælde</w:t>
            </w:r>
            <w:r w:rsidRPr="00265D43">
              <w:t>n</w:t>
            </w:r>
            <w:r w:rsidRPr="00265D43">
              <w:t>de transaktion/arrangement desuagtet vil blive anset for gennem</w:t>
            </w:r>
            <w:r w:rsidR="00BB24F3">
              <w:t>ført.</w:t>
            </w:r>
          </w:p>
          <w:p w:rsidR="002C1C8E" w:rsidRDefault="002C1C8E" w:rsidP="00265D43">
            <w:pPr>
              <w:pStyle w:val="Tabel-BrdtekstmedafstandptekstGaramond"/>
            </w:pPr>
          </w:p>
          <w:p w:rsidR="002C1C8E" w:rsidRDefault="002C1C8E" w:rsidP="00265D43">
            <w:pPr>
              <w:pStyle w:val="Tabel-BrdtekstmedafstandptekstGaramond"/>
            </w:pPr>
            <w:r>
              <w:t>FSR har angivet 7 eksempler i h</w:t>
            </w:r>
            <w:r>
              <w:t>ø</w:t>
            </w:r>
            <w:r>
              <w:t>ringssvaret, hvor omgåelsesklausule</w:t>
            </w:r>
            <w:r>
              <w:t>r</w:t>
            </w:r>
            <w:r>
              <w:t>ne ”testes” og vil gerne høre Skatt</w:t>
            </w:r>
            <w:r>
              <w:t>e</w:t>
            </w:r>
            <w:r>
              <w:t xml:space="preserve">ministeriet, om </w:t>
            </w:r>
            <w:r w:rsidR="00BE0380">
              <w:t xml:space="preserve">klausulerne </w:t>
            </w:r>
            <w:r>
              <w:t>finder a</w:t>
            </w:r>
            <w:r>
              <w:t>n</w:t>
            </w:r>
            <w:r>
              <w:t>vendelse</w:t>
            </w:r>
            <w:r w:rsidR="00BE0380">
              <w:t xml:space="preserve"> i disse eksempler</w:t>
            </w:r>
            <w:r>
              <w:t xml:space="preserve">. </w:t>
            </w:r>
          </w:p>
          <w:p w:rsidR="00286F79" w:rsidRDefault="00286F79" w:rsidP="00265D43">
            <w:pPr>
              <w:pStyle w:val="Tabel-BrdtekstmedafstandptekstGaramond"/>
            </w:pPr>
          </w:p>
          <w:p w:rsidR="00286F79" w:rsidRDefault="00286F79" w:rsidP="00265D43">
            <w:pPr>
              <w:pStyle w:val="Tabel-BrdtekstmedafstandptekstGaramond"/>
            </w:pPr>
          </w:p>
          <w:p w:rsidR="00286F79" w:rsidRDefault="00286F79" w:rsidP="00265D43">
            <w:pPr>
              <w:pStyle w:val="Tabel-BrdtekstmedafstandptekstGaramond"/>
            </w:pPr>
          </w:p>
          <w:p w:rsidR="00286F79" w:rsidRDefault="00286F79" w:rsidP="00265D43">
            <w:pPr>
              <w:pStyle w:val="Tabel-BrdtekstmedafstandptekstGaramond"/>
            </w:pPr>
          </w:p>
          <w:p w:rsidR="00286F79" w:rsidRDefault="00286F79" w:rsidP="00265D43">
            <w:pPr>
              <w:pStyle w:val="Tabel-BrdtekstmedafstandptekstGaramond"/>
            </w:pPr>
          </w:p>
          <w:p w:rsidR="00286F79" w:rsidRDefault="00286F79" w:rsidP="00265D43">
            <w:pPr>
              <w:pStyle w:val="Tabel-BrdtekstmedafstandptekstGaramond"/>
            </w:pPr>
          </w:p>
          <w:p w:rsidR="00286F79" w:rsidRDefault="00286F79" w:rsidP="00265D43">
            <w:pPr>
              <w:pStyle w:val="Tabel-BrdtekstmedafstandptekstGaramond"/>
            </w:pPr>
          </w:p>
          <w:p w:rsidR="00BE0380" w:rsidRDefault="00BE0380" w:rsidP="00BE0380">
            <w:pPr>
              <w:pStyle w:val="Tabel-BrdtekstmedafstandptekstGaramond"/>
              <w:ind w:left="0"/>
            </w:pPr>
          </w:p>
          <w:p w:rsidR="00286F79" w:rsidRDefault="00286F79" w:rsidP="00265D43">
            <w:pPr>
              <w:pStyle w:val="Tabel-BrdtekstmedafstandptekstGaramond"/>
              <w:rPr>
                <w:u w:val="single"/>
              </w:rPr>
            </w:pPr>
            <w:r>
              <w:rPr>
                <w:u w:val="single"/>
              </w:rPr>
              <w:t>Bindende svar</w:t>
            </w:r>
          </w:p>
          <w:p w:rsidR="00BE0380" w:rsidRDefault="000A1518" w:rsidP="000A1518">
            <w:pPr>
              <w:pStyle w:val="Tabel-BrdtekstmedafstandptekstGaramond"/>
            </w:pPr>
            <w:r w:rsidRPr="000A1518">
              <w:t>FSR er meget bekymret over de ret</w:t>
            </w:r>
            <w:r w:rsidRPr="000A1518">
              <w:t>s</w:t>
            </w:r>
            <w:r w:rsidRPr="000A1518">
              <w:t>sikkerhedsmæssige aspekter af forsl</w:t>
            </w:r>
            <w:r w:rsidRPr="000A1518">
              <w:t>a</w:t>
            </w:r>
            <w:r w:rsidRPr="000A1518">
              <w:t>get, idet et bindende svar altid bør være bindende, medmindre der er a</w:t>
            </w:r>
            <w:r w:rsidRPr="000A1518">
              <w:t>f</w:t>
            </w:r>
            <w:r w:rsidRPr="000A1518">
              <w:t>givet urigtige oplysninger. Hvis der skal være en undtagelse, bør der være meget specifikke og snævre grænser for, i hvilke tilfælde bindende svar i</w:t>
            </w:r>
            <w:r w:rsidRPr="000A1518">
              <w:t>k</w:t>
            </w:r>
            <w:r w:rsidRPr="000A1518">
              <w:t>ke er bindende.</w:t>
            </w:r>
            <w:r w:rsidR="00BE0380">
              <w:t xml:space="preserve"> </w:t>
            </w:r>
          </w:p>
          <w:p w:rsidR="00BE0380" w:rsidRDefault="00BE0380" w:rsidP="000A1518">
            <w:pPr>
              <w:pStyle w:val="Tabel-BrdtekstmedafstandptekstGaramond"/>
            </w:pPr>
          </w:p>
          <w:p w:rsidR="000A1518" w:rsidRDefault="000A1518" w:rsidP="000A1518">
            <w:pPr>
              <w:pStyle w:val="Tabel-BrdtekstmedafstandptekstGaramond"/>
            </w:pPr>
            <w:r w:rsidRPr="000A1518">
              <w:t>FSR frygter</w:t>
            </w:r>
            <w:r w:rsidR="00BE0380">
              <w:t>,</w:t>
            </w:r>
            <w:r w:rsidRPr="000A1518">
              <w:t xml:space="preserve"> at der reelt bliver tale om en omvendt bevisbyrde, hvor SKATs sandsynliggørelse reelt blot vil komme til at bestå i en konstatering af</w:t>
            </w:r>
            <w:r w:rsidR="00BE0380">
              <w:t>, at</w:t>
            </w:r>
            <w:r w:rsidRPr="000A1518">
              <w:t xml:space="preserve"> a</w:t>
            </w:r>
            <w:r w:rsidRPr="000A1518">
              <w:t>k</w:t>
            </w:r>
            <w:r w:rsidRPr="000A1518">
              <w:t>tivet er solgt til en væsentlig højere værdi, hvorefter det bliver op til spø</w:t>
            </w:r>
            <w:r w:rsidRPr="000A1518">
              <w:t>r</w:t>
            </w:r>
            <w:r w:rsidRPr="000A1518">
              <w:t>ger at påvise årsagerne til værdifo</w:t>
            </w:r>
            <w:r w:rsidRPr="000A1518">
              <w:t>r</w:t>
            </w:r>
            <w:r w:rsidRPr="000A1518">
              <w:lastRenderedPageBreak/>
              <w:t>skellen. Det bør derfor fremgå af b</w:t>
            </w:r>
            <w:r w:rsidRPr="000A1518">
              <w:t>e</w:t>
            </w:r>
            <w:r w:rsidRPr="000A1518">
              <w:t>mærkningerne, at det er SKAT, der har bevisbyrden. Det forudsættes, at SKAT som led i sandsynliggørelsen skal sandsynliggøre, hvad værdien r</w:t>
            </w:r>
            <w:r w:rsidRPr="000A1518">
              <w:t>e</w:t>
            </w:r>
            <w:r w:rsidRPr="000A1518">
              <w:t xml:space="preserve">elt var ved afgivelsen af det bindende svar. </w:t>
            </w:r>
          </w:p>
          <w:p w:rsidR="000A1518" w:rsidRPr="000A1518" w:rsidRDefault="000A1518" w:rsidP="000A1518">
            <w:pPr>
              <w:pStyle w:val="Tabel-BrdtekstmedafstandptekstGaramond"/>
            </w:pPr>
          </w:p>
          <w:p w:rsidR="000A1518" w:rsidRDefault="000A1518" w:rsidP="000A1518">
            <w:pPr>
              <w:pStyle w:val="Tabel-BrdtekstmedafstandptekstGaramond"/>
            </w:pPr>
            <w:r w:rsidRPr="000A1518">
              <w:t>FSR foreslår, at der bliver mulighed for, at det allerede på det tidspunkt, hvor SKAT meddeler, at det binde</w:t>
            </w:r>
            <w:r w:rsidRPr="000A1518">
              <w:t>n</w:t>
            </w:r>
            <w:r w:rsidRPr="000A1518">
              <w:t>de svar anses for bortfaldet, kan in</w:t>
            </w:r>
            <w:r w:rsidRPr="000A1518">
              <w:t>d</w:t>
            </w:r>
            <w:r w:rsidRPr="000A1518">
              <w:t>hente syn og skøn.</w:t>
            </w:r>
          </w:p>
          <w:p w:rsidR="000A1518" w:rsidRDefault="000A1518" w:rsidP="000A1518">
            <w:pPr>
              <w:pStyle w:val="Tabel-BrdtekstmedafstandptekstGaramond"/>
            </w:pPr>
          </w:p>
          <w:p w:rsidR="000A1518" w:rsidRDefault="000A1518" w:rsidP="000A1518">
            <w:pPr>
              <w:pStyle w:val="Tabel-BrdtekstmedafstandptekstGaramond"/>
            </w:pPr>
          </w:p>
          <w:p w:rsidR="000A1518" w:rsidRDefault="000A1518" w:rsidP="000A1518">
            <w:pPr>
              <w:pStyle w:val="Tabel-BrdtekstmedafstandptekstGaramond"/>
            </w:pPr>
          </w:p>
          <w:p w:rsidR="000A1518" w:rsidRDefault="000A1518" w:rsidP="000A1518">
            <w:pPr>
              <w:pStyle w:val="Tabel-BrdtekstmedafstandptekstGaramond"/>
            </w:pPr>
          </w:p>
          <w:p w:rsidR="000A1518" w:rsidRDefault="000A1518" w:rsidP="000A1518">
            <w:pPr>
              <w:pStyle w:val="Tabel-BrdtekstmedafstandptekstGaramond"/>
            </w:pPr>
          </w:p>
          <w:p w:rsidR="000A1518" w:rsidRDefault="000A1518" w:rsidP="000A1518">
            <w:pPr>
              <w:pStyle w:val="Tabel-BrdtekstmedafstandptekstGaramond"/>
            </w:pPr>
          </w:p>
          <w:p w:rsidR="000A1518" w:rsidRDefault="000A1518" w:rsidP="000A1518">
            <w:pPr>
              <w:pStyle w:val="Tabel-BrdtekstmedafstandptekstGaramond"/>
            </w:pPr>
          </w:p>
          <w:p w:rsidR="000A1518" w:rsidRDefault="000A1518" w:rsidP="000A1518">
            <w:pPr>
              <w:pStyle w:val="Tabel-BrdtekstmedafstandptekstGaramond"/>
            </w:pPr>
          </w:p>
          <w:p w:rsidR="000A1518" w:rsidRDefault="000A1518" w:rsidP="000A1518">
            <w:pPr>
              <w:pStyle w:val="Tabel-BrdtekstmedafstandptekstGaramond"/>
            </w:pPr>
          </w:p>
          <w:p w:rsidR="000A1518" w:rsidRPr="000A1518" w:rsidRDefault="000A1518" w:rsidP="000A1518">
            <w:pPr>
              <w:pStyle w:val="Tabel-BrdtekstmedafstandptekstGaramond"/>
            </w:pPr>
          </w:p>
          <w:p w:rsidR="000A1518" w:rsidRDefault="000A1518" w:rsidP="000A1518">
            <w:pPr>
              <w:pStyle w:val="Tabel-BrdtekstmedafstandptekstGaramond"/>
            </w:pPr>
            <w:r w:rsidRPr="000A1518">
              <w:t>FSR mener, at reglen bør være tid</w:t>
            </w:r>
            <w:r w:rsidRPr="000A1518">
              <w:t>s</w:t>
            </w:r>
            <w:r w:rsidRPr="000A1518">
              <w:t>mæssigt begrænset, således at det bi</w:t>
            </w:r>
            <w:r w:rsidRPr="000A1518">
              <w:t>n</w:t>
            </w:r>
            <w:r w:rsidRPr="000A1518">
              <w:t>dende svar alene kan bortfalde, hvor et salg eller størrelsen af afkastet sker henholdsvis vurderes indenfor fx maksimalt 24 måneder efter afgive</w:t>
            </w:r>
            <w:r w:rsidRPr="000A1518">
              <w:t>l</w:t>
            </w:r>
            <w:r w:rsidRPr="000A1518">
              <w:t>sen af det bindende svar.</w:t>
            </w:r>
          </w:p>
          <w:p w:rsidR="000A1518" w:rsidRDefault="000A1518"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Pr="000A1518" w:rsidRDefault="002E3537" w:rsidP="000A1518">
            <w:pPr>
              <w:pStyle w:val="Tabel-BrdtekstmedafstandptekstGaramond"/>
            </w:pPr>
          </w:p>
          <w:p w:rsidR="000A1518" w:rsidRDefault="000A1518" w:rsidP="000A1518">
            <w:pPr>
              <w:pStyle w:val="Tabel-BrdtekstmedafstandptekstGaramond"/>
            </w:pPr>
            <w:r w:rsidRPr="000A1518">
              <w:t xml:space="preserve">FSR finder det uhensigtsmæssigt, at beløbsgrænsen kun foreslås til 1 mio. kr.  Dette harmonerer ikke med, at </w:t>
            </w:r>
            <w:r w:rsidRPr="000A1518">
              <w:lastRenderedPageBreak/>
              <w:t>hensigten er, at den foreslåede b</w:t>
            </w:r>
            <w:r w:rsidRPr="000A1518">
              <w:t>e</w:t>
            </w:r>
            <w:r w:rsidRPr="000A1518">
              <w:t>stemmelse skal finde anvendelse i ti</w:t>
            </w:r>
            <w:r w:rsidRPr="000A1518">
              <w:t>l</w:t>
            </w:r>
            <w:r w:rsidRPr="000A1518">
              <w:t xml:space="preserve">fælde af en væsentlig værdiafvigelse. Der opfordres til, at grænsen ændres til 10 mio. kr. </w:t>
            </w:r>
          </w:p>
          <w:p w:rsidR="000A1518" w:rsidRPr="000A1518" w:rsidRDefault="000A1518" w:rsidP="000A1518">
            <w:pPr>
              <w:pStyle w:val="Tabel-BrdtekstmedafstandptekstGaramond"/>
            </w:pPr>
          </w:p>
          <w:p w:rsidR="000A1518" w:rsidRDefault="000A1518" w:rsidP="000A1518">
            <w:pPr>
              <w:pStyle w:val="Tabel-BrdtekstmedafstandptekstGaramond"/>
            </w:pPr>
            <w:r w:rsidRPr="000A1518">
              <w:t xml:space="preserve">Der spørges til, om der ved afkast menes brutto- eller nettoafkast. </w:t>
            </w: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0A1518" w:rsidRDefault="002E3537" w:rsidP="000A1518">
            <w:pPr>
              <w:pStyle w:val="Tabel-BrdtekstmedafstandptekstGaramond"/>
            </w:pPr>
            <w:r>
              <w:t>S</w:t>
            </w:r>
            <w:r w:rsidR="000A1518" w:rsidRPr="000A1518">
              <w:t xml:space="preserve">katteministeriet bedes bekræfte, at skattemyndighederne ikke kan anse det bindende svar for </w:t>
            </w:r>
            <w:r w:rsidR="004A6061">
              <w:t xml:space="preserve">ikke </w:t>
            </w:r>
            <w:r w:rsidR="000A1518" w:rsidRPr="000A1518">
              <w:t xml:space="preserve">at </w:t>
            </w:r>
            <w:r w:rsidR="004A6061">
              <w:t>være</w:t>
            </w:r>
            <w:r w:rsidR="000A1518" w:rsidRPr="000A1518">
              <w:t xml:space="preserve"> bindende </w:t>
            </w:r>
            <w:r w:rsidR="004A6061">
              <w:t xml:space="preserve">alene </w:t>
            </w:r>
            <w:r w:rsidR="000A1518" w:rsidRPr="000A1518">
              <w:t>ved efterfølgende at anvende en anden model for værdia</w:t>
            </w:r>
            <w:r w:rsidR="000A1518" w:rsidRPr="000A1518">
              <w:t>n</w:t>
            </w:r>
            <w:r w:rsidR="000A1518" w:rsidRPr="000A1518">
              <w:t>sættelse.</w:t>
            </w:r>
          </w:p>
          <w:p w:rsidR="000A1518" w:rsidRDefault="000A1518"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2E3537" w:rsidRDefault="002E3537" w:rsidP="000A1518">
            <w:pPr>
              <w:pStyle w:val="Tabel-BrdtekstmedafstandptekstGaramond"/>
            </w:pPr>
          </w:p>
          <w:p w:rsidR="000A1518" w:rsidRDefault="000A1518" w:rsidP="000A1518">
            <w:pPr>
              <w:pStyle w:val="Tabel-BrdtekstmedafstandptekstGaramond"/>
            </w:pPr>
            <w:r w:rsidRPr="000A1518">
              <w:t>FSR beder om at få præciseret, at vurderingen af et tilsvarende aktiv, som nævnt i bemærkningerne, kun finder anvendelse i den situation, som er beskrevet i bemærkningerne. De</w:t>
            </w:r>
            <w:r w:rsidRPr="000A1518">
              <w:t>r</w:t>
            </w:r>
            <w:r w:rsidR="004A6061">
              <w:t xml:space="preserve">udover anmodes om </w:t>
            </w:r>
            <w:r w:rsidRPr="000A1518">
              <w:t>at få oplyst, om den foreslåede regel vil kunne finde anvendelse ved en efterfølgende ind</w:t>
            </w:r>
            <w:r w:rsidRPr="000A1518">
              <w:t>i</w:t>
            </w:r>
            <w:r w:rsidRPr="000A1518">
              <w:t xml:space="preserve">rekte overdragelse af samme aktiv, fx ved en overdragelse af det selskab, der ejer aktivet. </w:t>
            </w:r>
          </w:p>
          <w:p w:rsidR="000A1518" w:rsidRDefault="000A1518" w:rsidP="000A1518">
            <w:pPr>
              <w:pStyle w:val="Tabel-BrdtekstmedafstandptekstGaramond"/>
            </w:pPr>
          </w:p>
          <w:p w:rsidR="004A339D" w:rsidRDefault="004A339D" w:rsidP="000A1518">
            <w:pPr>
              <w:pStyle w:val="Tabel-BrdtekstmedafstandptekstGaramond"/>
            </w:pPr>
          </w:p>
          <w:p w:rsidR="004A339D" w:rsidRDefault="004A339D" w:rsidP="000A1518">
            <w:pPr>
              <w:pStyle w:val="Tabel-BrdtekstmedafstandptekstGaramond"/>
            </w:pPr>
          </w:p>
          <w:p w:rsidR="004A339D" w:rsidRDefault="004A339D" w:rsidP="000A1518">
            <w:pPr>
              <w:pStyle w:val="Tabel-BrdtekstmedafstandptekstGaramond"/>
            </w:pPr>
          </w:p>
          <w:p w:rsidR="004A339D" w:rsidRPr="000A1518" w:rsidRDefault="004A339D" w:rsidP="000A1518">
            <w:pPr>
              <w:pStyle w:val="Tabel-BrdtekstmedafstandptekstGaramond"/>
            </w:pPr>
          </w:p>
          <w:p w:rsidR="000A1518" w:rsidRPr="000A1518" w:rsidRDefault="000A1518" w:rsidP="000A1518">
            <w:pPr>
              <w:pStyle w:val="Tabel-BrdtekstmedafstandptekstGaramond"/>
              <w:rPr>
                <w:u w:val="single"/>
              </w:rPr>
            </w:pPr>
            <w:r w:rsidRPr="000A1518">
              <w:t xml:space="preserve">FSR ønsker uddybet, hvorledes den foreslåede regel finder anvendelse, </w:t>
            </w:r>
            <w:r w:rsidRPr="000A1518">
              <w:lastRenderedPageBreak/>
              <w:t>hvor en afvigende værdiansættelse vil</w:t>
            </w:r>
            <w:r w:rsidRPr="000A1518">
              <w:rPr>
                <w:u w:val="single"/>
              </w:rPr>
              <w:t xml:space="preserve"> </w:t>
            </w:r>
            <w:r w:rsidRPr="000A1518">
              <w:t>resultere i en nedsættelse af et se</w:t>
            </w:r>
            <w:r w:rsidRPr="000A1518">
              <w:t>l</w:t>
            </w:r>
            <w:r w:rsidRPr="000A1518">
              <w:t>skabs danske skattepligtig</w:t>
            </w:r>
            <w:r w:rsidR="004A6061">
              <w:t>e</w:t>
            </w:r>
            <w:r w:rsidRPr="000A1518">
              <w:t xml:space="preserve"> indkomst.</w:t>
            </w:r>
            <w:r w:rsidRPr="000A1518">
              <w:rPr>
                <w:u w:val="single"/>
              </w:rPr>
              <w:t xml:space="preserve"> </w:t>
            </w:r>
          </w:p>
          <w:p w:rsidR="00286F79" w:rsidRDefault="00286F79" w:rsidP="00265D43">
            <w:pPr>
              <w:pStyle w:val="Tabel-BrdtekstmedafstandptekstGaramond"/>
              <w:rPr>
                <w:u w:val="single"/>
              </w:rPr>
            </w:pPr>
          </w:p>
          <w:p w:rsidR="00286F79" w:rsidRDefault="00286F79" w:rsidP="00265D43">
            <w:pPr>
              <w:pStyle w:val="Tabel-BrdtekstmedafstandptekstGaramond"/>
              <w:rPr>
                <w:u w:val="single"/>
              </w:rPr>
            </w:pPr>
          </w:p>
          <w:p w:rsidR="002E3537" w:rsidRDefault="002E3537"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4A339D" w:rsidRDefault="004A339D" w:rsidP="00265D43">
            <w:pPr>
              <w:pStyle w:val="Tabel-BrdtekstmedafstandptekstGaramond"/>
              <w:rPr>
                <w:u w:val="single"/>
              </w:rPr>
            </w:pPr>
          </w:p>
          <w:p w:rsidR="00286F79" w:rsidRPr="00286F79" w:rsidRDefault="00286F79" w:rsidP="00265D43">
            <w:pPr>
              <w:pStyle w:val="Tabel-BrdtekstmedafstandptekstGaramond"/>
              <w:rPr>
                <w:u w:val="single"/>
              </w:rPr>
            </w:pPr>
            <w:r>
              <w:rPr>
                <w:u w:val="single"/>
              </w:rPr>
              <w:t>Trusts</w:t>
            </w:r>
          </w:p>
          <w:p w:rsidR="00286F79" w:rsidRDefault="00286F79" w:rsidP="00286F79">
            <w:pPr>
              <w:pStyle w:val="Tabel-BrdtekstmedafstandptekstGaramond"/>
            </w:pPr>
            <w:r>
              <w:t>FSR påpeger, at der er en række la</w:t>
            </w:r>
            <w:r>
              <w:t>n</w:t>
            </w:r>
            <w:r>
              <w:t>de, som ikke har en egentlig lovgi</w:t>
            </w:r>
            <w:r>
              <w:t>v</w:t>
            </w:r>
            <w:r w:rsidR="00F57A95">
              <w:t xml:space="preserve">ning om fonde. Konsekvensen af </w:t>
            </w:r>
            <w:r>
              <w:t>manglende lovregulering på området ser således ud til at være, at man i de situationer ikke kan få anerkendt en</w:t>
            </w:r>
          </w:p>
          <w:p w:rsidR="00286F79" w:rsidRDefault="00286F79" w:rsidP="00286F79">
            <w:pPr>
              <w:pStyle w:val="Tabel-BrdtekstmedafstandptekstGaramond"/>
            </w:pPr>
            <w:r>
              <w:t>fondsstiftelse, uanset om formuen e</w:t>
            </w:r>
            <w:r>
              <w:t>f</w:t>
            </w:r>
            <w:r>
              <w:t>ter landets praksis og eventuelt aftal</w:t>
            </w:r>
            <w:r>
              <w:t>e</w:t>
            </w:r>
            <w:r>
              <w:t>grundlag er endeligt og uigenkaldeligt udskilt fra stifteren. Dette bedes</w:t>
            </w:r>
          </w:p>
          <w:p w:rsidR="00265D43" w:rsidRDefault="00286F79" w:rsidP="00286F79">
            <w:pPr>
              <w:pStyle w:val="Tabel-BrdtekstmedafstandptekstGaramond"/>
            </w:pPr>
            <w:r>
              <w:t>bekræftet.</w:t>
            </w:r>
          </w:p>
          <w:p w:rsidR="00F57A95" w:rsidRDefault="00F57A95" w:rsidP="00286F79">
            <w:pPr>
              <w:pStyle w:val="Tabel-BrdtekstmedafstandptekstGaramond"/>
            </w:pPr>
          </w:p>
          <w:p w:rsidR="00F57A95" w:rsidRDefault="00F57A95" w:rsidP="00F57A95">
            <w:pPr>
              <w:pStyle w:val="Tabel-BrdtekstmedafstandptekstGaramond"/>
            </w:pPr>
            <w:r>
              <w:t>Det bedes endvidere bekræftet, at sti</w:t>
            </w:r>
            <w:r>
              <w:t>f</w:t>
            </w:r>
            <w:r>
              <w:t>tere af trusts aldrig vil kunne fritages for dansk beskatning, selv om lovgi</w:t>
            </w:r>
            <w:r>
              <w:t>v</w:t>
            </w:r>
            <w:r>
              <w:t>ningen i det pågældende land kræver endelig og uigenkaldelig udskillelse</w:t>
            </w:r>
            <w:r w:rsidR="009540E3">
              <w:t>.</w:t>
            </w:r>
          </w:p>
          <w:p w:rsidR="009540E3" w:rsidRDefault="009540E3" w:rsidP="00F57A95">
            <w:pPr>
              <w:pStyle w:val="Tabel-BrdtekstmedafstandptekstGaramond"/>
            </w:pPr>
          </w:p>
          <w:p w:rsidR="009540E3" w:rsidRDefault="009540E3" w:rsidP="009540E3">
            <w:pPr>
              <w:pStyle w:val="Tabel-BrdtekstmedafstandptekstGaramond"/>
            </w:pPr>
            <w:r>
              <w:t>I tilfælde af, at trusten er uigenkald</w:t>
            </w:r>
            <w:r>
              <w:t>e</w:t>
            </w:r>
            <w:r>
              <w:t>ligt udskilt fra stifteren</w:t>
            </w:r>
            <w:r w:rsidR="004A6061">
              <w:t>,</w:t>
            </w:r>
            <w:r>
              <w:t xml:space="preserve"> vil de foresl</w:t>
            </w:r>
            <w:r>
              <w:t>å</w:t>
            </w:r>
            <w:r>
              <w:t>ede regler forhindre stifteren i at b</w:t>
            </w:r>
            <w:r>
              <w:t>o</w:t>
            </w:r>
            <w:r>
              <w:t xml:space="preserve">sætte sig i Danmark, hvis trusten ikke er mere end 10 år gammel. </w:t>
            </w:r>
          </w:p>
          <w:p w:rsidR="009540E3" w:rsidRDefault="009540E3" w:rsidP="009540E3">
            <w:pPr>
              <w:pStyle w:val="Tabel-BrdtekstmedafstandptekstGaramond"/>
            </w:pPr>
          </w:p>
          <w:p w:rsidR="009540E3" w:rsidRDefault="009540E3" w:rsidP="009540E3">
            <w:pPr>
              <w:pStyle w:val="Tabel-BrdtekstmedafstandptekstGaramond"/>
            </w:pPr>
          </w:p>
          <w:p w:rsidR="009540E3" w:rsidRDefault="009540E3" w:rsidP="009540E3">
            <w:pPr>
              <w:pStyle w:val="Tabel-BrdtekstmedafstandptekstGaramond"/>
            </w:pPr>
          </w:p>
          <w:p w:rsidR="009540E3" w:rsidRDefault="009540E3" w:rsidP="009540E3">
            <w:pPr>
              <w:pStyle w:val="Tabel-BrdtekstmedafstandptekstGaramond"/>
            </w:pPr>
          </w:p>
          <w:p w:rsidR="009540E3" w:rsidRDefault="009540E3" w:rsidP="009540E3">
            <w:pPr>
              <w:pStyle w:val="Tabel-BrdtekstmedafstandptekstGaramond"/>
            </w:pPr>
          </w:p>
          <w:p w:rsidR="009540E3" w:rsidRDefault="009540E3" w:rsidP="009540E3">
            <w:pPr>
              <w:pStyle w:val="Tabel-BrdtekstmedafstandptekstGaramond"/>
            </w:pPr>
            <w:r>
              <w:t>En udenlandsk statsborger, der er dansk skattepligtig, vil således ikke</w:t>
            </w:r>
            <w:r w:rsidR="00F83850">
              <w:t xml:space="preserve"> </w:t>
            </w:r>
            <w:r>
              <w:t>uden fortsat beskatning kunne oprette hverken en trust eller en fond i det land, hvor den pågældende er stat</w:t>
            </w:r>
            <w:r>
              <w:t>s</w:t>
            </w:r>
            <w:r>
              <w:t>borger og naturligt har en særlig ti</w:t>
            </w:r>
            <w:r>
              <w:t>l</w:t>
            </w:r>
            <w:r>
              <w:t>knytning til. Kun hvis der oprettes en egentlig fond</w:t>
            </w:r>
            <w:r w:rsidR="004A6061">
              <w:t>,</w:t>
            </w:r>
            <w:r>
              <w:t xml:space="preserve"> og landet har regler, som helt svarer til danske fondsregler, vil en sådan stiftelse kunne fritage stifteren for dansk beskatning. Dette bedes bekræftet.</w:t>
            </w:r>
          </w:p>
          <w:p w:rsidR="00023746" w:rsidRDefault="00023746" w:rsidP="009540E3">
            <w:pPr>
              <w:pStyle w:val="Tabel-BrdtekstmedafstandptekstGaramond"/>
            </w:pPr>
          </w:p>
          <w:p w:rsidR="00023746" w:rsidRDefault="00023746" w:rsidP="009540E3">
            <w:pPr>
              <w:pStyle w:val="Tabel-BrdtekstmedafstandptekstGaramond"/>
            </w:pPr>
          </w:p>
          <w:p w:rsidR="00023746" w:rsidRDefault="00023746" w:rsidP="00023746">
            <w:pPr>
              <w:pStyle w:val="Tabel-BrdtekstmedafstandptekstGaramond"/>
            </w:pPr>
            <w:r>
              <w:t>For så vidt der er tale om trusts eller fonde stiftet i et land, der er medlem af EU, bedes Skatteministeriet oplyse, om de foreslåede regler er i overen</w:t>
            </w:r>
            <w:r>
              <w:t>s</w:t>
            </w:r>
            <w:r>
              <w:t>stemmelse med EU-retten?</w:t>
            </w:r>
          </w:p>
          <w:p w:rsidR="00023746" w:rsidRDefault="00023746" w:rsidP="00023746">
            <w:pPr>
              <w:pStyle w:val="Tabel-BrdtekstmedafstandptekstGaramond"/>
            </w:pPr>
          </w:p>
          <w:p w:rsidR="00023746" w:rsidRDefault="00023746" w:rsidP="00023746">
            <w:pPr>
              <w:pStyle w:val="Tabel-BrdtekstmedafstandptekstGaramond"/>
            </w:pPr>
            <w:r>
              <w:t>I den foreslåede § 16 K, stk. 1, anf</w:t>
            </w:r>
            <w:r>
              <w:t>ø</w:t>
            </w:r>
            <w:r>
              <w:t>res i sidste punktum ”Andre skatt</w:t>
            </w:r>
            <w:r>
              <w:t>e</w:t>
            </w:r>
            <w:r>
              <w:t>pligtige omfattet af de nævnte b</w:t>
            </w:r>
            <w:r>
              <w:t>e</w:t>
            </w:r>
            <w:r>
              <w:t>stemmelser, der indskyder aktiver i trusten, sidestilles med stifteren”. Hvad menes der med ”trusten”? R</w:t>
            </w:r>
            <w:r>
              <w:t>e</w:t>
            </w:r>
            <w:r>
              <w:t>fereres der alene til indskud i en trust, hvor afkastet i forvejen beskattes hos stifteren, jf. 1. punktum?</w:t>
            </w:r>
          </w:p>
          <w:p w:rsidR="0039082E" w:rsidRDefault="0039082E" w:rsidP="00023746">
            <w:pPr>
              <w:pStyle w:val="Tabel-BrdtekstmedafstandptekstGaramond"/>
            </w:pPr>
          </w:p>
          <w:p w:rsidR="0039082E" w:rsidRDefault="0039082E" w:rsidP="0039082E">
            <w:pPr>
              <w:pStyle w:val="Tabel-BrdtekstmedafstandptekstGaramond"/>
            </w:pPr>
            <w:r>
              <w:t>FSR finder, at en grænse på 10 år er for lang, da det vil ramme selv fo</w:t>
            </w:r>
            <w:r>
              <w:t>r</w:t>
            </w:r>
            <w:r>
              <w:t>holdsvis gamle trustkonstruktioner. En 5 årig grænse</w:t>
            </w:r>
            <w:r w:rsidR="004A6061">
              <w:t>,</w:t>
            </w:r>
            <w:r>
              <w:t xml:space="preserve"> som er gældende i den nuværende fondsbeskatningslovs § 3A</w:t>
            </w:r>
            <w:r w:rsidR="004A6061">
              <w:t>,</w:t>
            </w:r>
            <w:r>
              <w:t xml:space="preserve"> er mere passende.</w:t>
            </w:r>
          </w:p>
          <w:p w:rsidR="0039082E" w:rsidRDefault="0039082E" w:rsidP="0039082E">
            <w:pPr>
              <w:pStyle w:val="Tabel-BrdtekstmedafstandptekstGaramond"/>
            </w:pPr>
          </w:p>
          <w:p w:rsidR="0039082E" w:rsidRDefault="0039082E" w:rsidP="0039082E">
            <w:pPr>
              <w:pStyle w:val="Tabel-BrdtekstmedafstandptekstGaramond"/>
            </w:pPr>
            <w:r>
              <w:t>Det følger af den foreslåede beste</w:t>
            </w:r>
            <w:r>
              <w:t>m</w:t>
            </w:r>
            <w:r>
              <w:t>melse, at stifteren skal medregne tr</w:t>
            </w:r>
            <w:r>
              <w:t>u</w:t>
            </w:r>
            <w:r>
              <w:t>stens positive indkomst til sin skatt</w:t>
            </w:r>
            <w:r>
              <w:t>e</w:t>
            </w:r>
            <w:r>
              <w:lastRenderedPageBreak/>
              <w:t>pligtige indkomst, hvorimod unde</w:t>
            </w:r>
            <w:r>
              <w:t>r</w:t>
            </w:r>
            <w:r>
              <w:t>skud ikke kan fradrages i stifterens indkomst. Skal denne beskatning</w:t>
            </w:r>
            <w:r>
              <w:t>s</w:t>
            </w:r>
            <w:r>
              <w:t>form også være gældende, hvor mi</w:t>
            </w:r>
            <w:r>
              <w:t>d</w:t>
            </w:r>
            <w:r>
              <w:t>lerne slet ikke er udskilt fra stifteren</w:t>
            </w:r>
            <w:r w:rsidR="004A6061">
              <w:t>,</w:t>
            </w:r>
            <w:r>
              <w:t xml:space="preserve"> og hvor stifteren som følge af den manglende udskillelse hidtil har været anset som skattesubjekt for hele in</w:t>
            </w:r>
            <w:r>
              <w:t>d</w:t>
            </w:r>
            <w:r>
              <w:t>komsten og formuen?</w:t>
            </w:r>
          </w:p>
          <w:p w:rsidR="00F77C97" w:rsidRDefault="00F77C97" w:rsidP="0039082E">
            <w:pPr>
              <w:pStyle w:val="Tabel-BrdtekstmedafstandptekstGaramond"/>
            </w:pPr>
          </w:p>
          <w:p w:rsidR="00F77C97" w:rsidRDefault="00F77C97" w:rsidP="00F77C97">
            <w:pPr>
              <w:pStyle w:val="Tabel-BrdtekstmedafstandptekstGaramond"/>
            </w:pPr>
            <w:r>
              <w:t>Tilsvarende overvejelse gør sig gæ</w:t>
            </w:r>
            <w:r>
              <w:t>l</w:t>
            </w:r>
            <w:r>
              <w:t>dende, hvis der udbetales eller tilbag</w:t>
            </w:r>
            <w:r>
              <w:t>e</w:t>
            </w:r>
            <w:r>
              <w:t>føres midler til stifteren. Efter forsl</w:t>
            </w:r>
            <w:r>
              <w:t>a</w:t>
            </w:r>
            <w:r>
              <w:t>get, jf.</w:t>
            </w:r>
            <w:r w:rsidR="004A6061">
              <w:t xml:space="preserve"> ligningslovens</w:t>
            </w:r>
            <w:r>
              <w:t xml:space="preserve"> § 16 K, stk. 7, er stifteren skattefri af uddelinger, der modsvarer indkomst, der efter de samme regler er beskattet hos stift</w:t>
            </w:r>
            <w:r>
              <w:t>e</w:t>
            </w:r>
            <w:r>
              <w:t>ren, hvorimod der ikke er taget stilling til beskatningen, hvis der udbetales beløb, der overstiger den hos stifteren beskattede indkomst. Eksempelvis tilbagebetaling af indskud.</w:t>
            </w:r>
          </w:p>
          <w:p w:rsidR="00F77C97" w:rsidRDefault="00F77C97" w:rsidP="00F77C97">
            <w:pPr>
              <w:pStyle w:val="Tabel-BrdtekstmedafstandptekstGaramond"/>
            </w:pPr>
          </w:p>
          <w:p w:rsidR="00F77C97" w:rsidRDefault="00F77C97" w:rsidP="00F77C97">
            <w:pPr>
              <w:pStyle w:val="Tabel-BrdtekstmedafstandptekstGaramond"/>
            </w:pPr>
            <w:r>
              <w:t>Det fremgår endvidere af bemærkni</w:t>
            </w:r>
            <w:r>
              <w:t>n</w:t>
            </w:r>
            <w:r>
              <w:t>gerne, at begunstigede fortsat vil være skattepligtige af uddelinger efter stat</w:t>
            </w:r>
            <w:r>
              <w:t>s</w:t>
            </w:r>
            <w:r>
              <w:t>skattelovens §</w:t>
            </w:r>
            <w:r w:rsidR="00FB0E82">
              <w:t xml:space="preserve"> </w:t>
            </w:r>
            <w:r>
              <w:t>4. Hvis formuen ikke er udskilt fra stifterens formue, må der vel være tale om en gave fra stift</w:t>
            </w:r>
            <w:r>
              <w:t>e</w:t>
            </w:r>
            <w:r>
              <w:t>ren til modtageren, som skal beskattes efter de regler, der gælder for gaver.</w:t>
            </w:r>
          </w:p>
          <w:p w:rsidR="00D64456" w:rsidRDefault="00D64456" w:rsidP="00F77C97">
            <w:pPr>
              <w:pStyle w:val="Tabel-BrdtekstmedafstandptekstGaramond"/>
            </w:pPr>
          </w:p>
          <w:p w:rsidR="00D64456" w:rsidRDefault="00D64456" w:rsidP="00F77C97">
            <w:pPr>
              <w:pStyle w:val="Tabel-BrdtekstmedafstandptekstGaramond"/>
            </w:pPr>
          </w:p>
          <w:p w:rsidR="004A339D" w:rsidRDefault="004A339D" w:rsidP="00F77C97">
            <w:pPr>
              <w:pStyle w:val="Tabel-BrdtekstmedafstandptekstGaramond"/>
            </w:pPr>
          </w:p>
          <w:p w:rsidR="00D64456" w:rsidRDefault="00D64456" w:rsidP="00F77C97">
            <w:pPr>
              <w:pStyle w:val="Tabel-BrdtekstmedafstandptekstGaramond"/>
            </w:pPr>
            <w:r>
              <w:t>FSR anmoder om uddybning med hensyn til, hvordan trustens indkomst fordeles mellem flere stift</w:t>
            </w:r>
            <w:r>
              <w:t>e</w:t>
            </w:r>
            <w:r>
              <w:t>re/indskydere.</w:t>
            </w:r>
          </w:p>
          <w:p w:rsidR="00F77C97" w:rsidRDefault="00F77C97" w:rsidP="00F77C97">
            <w:pPr>
              <w:pStyle w:val="Tabel-BrdtekstmedafstandptekstGaramond"/>
            </w:pPr>
          </w:p>
          <w:p w:rsidR="00265D43" w:rsidRDefault="00D64456" w:rsidP="00D64456">
            <w:pPr>
              <w:pStyle w:val="Tabel-BrdtekstmedafstandptekstGaramond"/>
            </w:pPr>
            <w:r>
              <w:t xml:space="preserve">Det bør derfor præciseres, at stiftere og indskydere ved fordelingen både er danske og udenlandske skattepligtige personer mv., da det ellers vil få den konsekvens, at en dansk indskyder i </w:t>
            </w:r>
            <w:r>
              <w:lastRenderedPageBreak/>
              <w:t>en fond/trust, hvor de øvrige indsk</w:t>
            </w:r>
            <w:r>
              <w:t>y</w:t>
            </w:r>
            <w:r>
              <w:t>dere er udlændinge, vil få tillagt hele afkastet i fonden.</w:t>
            </w:r>
          </w:p>
          <w:p w:rsidR="00BE5ADE" w:rsidRDefault="00BE5ADE" w:rsidP="00D64456">
            <w:pPr>
              <w:pStyle w:val="Tabel-BrdtekstmedafstandptekstGaramond"/>
            </w:pPr>
          </w:p>
          <w:p w:rsidR="00BE5ADE" w:rsidRDefault="00BE5ADE" w:rsidP="00D64456">
            <w:pPr>
              <w:pStyle w:val="Tabel-BrdtekstmedafstandptekstGaramond"/>
              <w:rPr>
                <w:u w:val="single"/>
              </w:rPr>
            </w:pPr>
            <w:r>
              <w:rPr>
                <w:u w:val="single"/>
              </w:rPr>
              <w:t>DIAS</w:t>
            </w:r>
          </w:p>
          <w:p w:rsidR="00BE5ADE" w:rsidRDefault="00BE5ADE" w:rsidP="00BE5ADE">
            <w:pPr>
              <w:pStyle w:val="Tabel-BrdtekstmedafstandptekstGaramond"/>
            </w:pPr>
            <w:r w:rsidRPr="00BE5ADE">
              <w:t>FSR har forståelse for, at der kan o</w:t>
            </w:r>
            <w:r>
              <w:t>p</w:t>
            </w:r>
            <w:r w:rsidRPr="00BE5ADE">
              <w:t>stå vanskeligheder med udvikl</w:t>
            </w:r>
            <w:r w:rsidR="00174CDC">
              <w:t>ing af komplicerede IT-systemer</w:t>
            </w:r>
            <w:r w:rsidRPr="00BE5ADE">
              <w:t xml:space="preserve"> og finder det positivt, at selvangivelsesfristen generelt udskydes til 1. september i de to overgangsår.</w:t>
            </w:r>
          </w:p>
          <w:p w:rsidR="00BE5ADE" w:rsidRDefault="00BE5ADE" w:rsidP="00BE5ADE">
            <w:pPr>
              <w:pStyle w:val="Tabel-BrdtekstmedafstandptekstGaramond"/>
            </w:pPr>
          </w:p>
          <w:p w:rsidR="00BE5ADE" w:rsidRPr="00BE5ADE" w:rsidRDefault="00BE5ADE" w:rsidP="00BE5ADE">
            <w:pPr>
              <w:pStyle w:val="Tabel-BrdtekstmedafstandptekstGaramond"/>
            </w:pPr>
          </w:p>
          <w:p w:rsidR="00BE5ADE" w:rsidRDefault="00BE5ADE" w:rsidP="00BE5ADE">
            <w:pPr>
              <w:pStyle w:val="Tabel-BrdtekstmedafstandptekstGaramond"/>
            </w:pPr>
            <w:r>
              <w:t>FSR</w:t>
            </w:r>
            <w:r w:rsidRPr="00BE5ADE">
              <w:t xml:space="preserve"> foreslå</w:t>
            </w:r>
            <w:r>
              <w:t>r</w:t>
            </w:r>
            <w:r w:rsidRPr="00BE5ADE">
              <w:t>, at Skatteministeriet i denne overgangsperiode overvejer</w:t>
            </w:r>
            <w:r w:rsidR="00A1353B">
              <w:t>,</w:t>
            </w:r>
            <w:r w:rsidRPr="00BE5ADE">
              <w:t xml:space="preserve"> om det kunne være hensigtsmæssigt generelt at fastsætte selvangivelsesfr</w:t>
            </w:r>
            <w:r w:rsidRPr="00BE5ADE">
              <w:t>i</w:t>
            </w:r>
            <w:r w:rsidRPr="00BE5ADE">
              <w:t>sten til eksempelvis 1. september for alle sel</w:t>
            </w:r>
            <w:r>
              <w:t>skaber mv., idet d</w:t>
            </w:r>
            <w:r w:rsidRPr="00BE5ADE">
              <w:t xml:space="preserve">en planlagte IT-løsning </w:t>
            </w:r>
            <w:r>
              <w:t>gør</w:t>
            </w:r>
            <w:r w:rsidRPr="00BE5ADE">
              <w:t xml:space="preserve"> det muligt at udskrive årsopgørelser rettidigt</w:t>
            </w:r>
            <w:r>
              <w:t>.</w:t>
            </w:r>
            <w:r w:rsidRPr="00BE5ADE">
              <w:t xml:space="preserve"> </w:t>
            </w:r>
            <w:r>
              <w:t>Når</w:t>
            </w:r>
            <w:r w:rsidRPr="00BE5ADE">
              <w:t xml:space="preserve"> den pla</w:t>
            </w:r>
            <w:r w:rsidRPr="00BE5ADE">
              <w:t>n</w:t>
            </w:r>
            <w:r w:rsidRPr="00BE5ADE">
              <w:t>lagt</w:t>
            </w:r>
            <w:r>
              <w:t>e IT-løsning ikke længere kræver</w:t>
            </w:r>
            <w:r w:rsidRPr="00BE5ADE">
              <w:t xml:space="preserve"> manuel behandling for at udskrive årsopgørelserne</w:t>
            </w:r>
            <w:r>
              <w:t>, bortfalder den hist</w:t>
            </w:r>
            <w:r>
              <w:t>o</w:t>
            </w:r>
            <w:r>
              <w:t>riske begrundelse for forskellige sel</w:t>
            </w:r>
            <w:r>
              <w:t>v</w:t>
            </w:r>
            <w:r>
              <w:t>angivelsestidspunkter</w:t>
            </w:r>
            <w:r w:rsidRPr="00BE5ADE">
              <w:t>. Hvis det sa</w:t>
            </w:r>
            <w:r w:rsidRPr="00BE5ADE">
              <w:t>m</w:t>
            </w:r>
            <w:r w:rsidRPr="00BE5ADE">
              <w:t>tidig sikres, at der løbende kan sel</w:t>
            </w:r>
            <w:r w:rsidRPr="00BE5ADE">
              <w:t>v</w:t>
            </w:r>
            <w:r w:rsidRPr="00BE5ADE">
              <w:t>angives, vil der være opnået størst mulig fleksibilitet for virksomhederne, således at det bliver muligt at indb</w:t>
            </w:r>
            <w:r w:rsidRPr="00BE5ADE">
              <w:t>e</w:t>
            </w:r>
            <w:r w:rsidRPr="00BE5ADE">
              <w:t>rette skatteoplysninger samtidig med afslutning af regnskabet eller ved l</w:t>
            </w:r>
            <w:r w:rsidRPr="00BE5ADE">
              <w:t>i</w:t>
            </w:r>
            <w:r w:rsidRPr="00BE5ADE">
              <w:t>kvidation mv. Herudover vil det fo</w:t>
            </w:r>
            <w:r w:rsidRPr="00BE5ADE">
              <w:t>r</w:t>
            </w:r>
            <w:r w:rsidRPr="00BE5ADE">
              <w:t>mentligt lette presset på SKATs IT-systemer, hvis selvangivelsesfristen for selskaber og for selvstændige e</w:t>
            </w:r>
            <w:r w:rsidRPr="00BE5ADE">
              <w:t>r</w:t>
            </w:r>
            <w:r w:rsidRPr="00BE5ADE">
              <w:t>hvervsdrivende ikke er sammenfa</w:t>
            </w:r>
            <w:r w:rsidRPr="00BE5ADE">
              <w:t>l</w:t>
            </w:r>
            <w:r w:rsidRPr="00BE5ADE">
              <w:t>dende. FSR stiller sig gerne til rådi</w:t>
            </w:r>
            <w:r w:rsidRPr="00BE5ADE">
              <w:t>g</w:t>
            </w:r>
            <w:r w:rsidRPr="00BE5ADE">
              <w:t xml:space="preserve">hed for en arbejdsgruppe. </w:t>
            </w:r>
          </w:p>
          <w:p w:rsidR="00BE5ADE" w:rsidRPr="00BE5ADE" w:rsidRDefault="00BE5ADE" w:rsidP="00BE5ADE">
            <w:pPr>
              <w:pStyle w:val="Tabel-BrdtekstmedafstandptekstGaramond"/>
            </w:pPr>
          </w:p>
          <w:p w:rsidR="00BE5ADE" w:rsidRDefault="00726ED4" w:rsidP="00BE5ADE">
            <w:pPr>
              <w:pStyle w:val="Tabel-BrdtekstmedafstandptekstGaramond"/>
            </w:pPr>
            <w:r>
              <w:t>FSR finde</w:t>
            </w:r>
            <w:r w:rsidR="00D13596">
              <w:t>r</w:t>
            </w:r>
            <w:r>
              <w:t xml:space="preserve"> det</w:t>
            </w:r>
            <w:r w:rsidR="00BE5ADE" w:rsidRPr="00BE5ADE">
              <w:t xml:space="preserve"> positivt, at under</w:t>
            </w:r>
            <w:r>
              <w:t>skud ikke længere fortabes</w:t>
            </w:r>
            <w:r w:rsidR="00BE5ADE" w:rsidRPr="00BE5ADE">
              <w:t xml:space="preserve"> ved manglende indberetning, ligesom de</w:t>
            </w:r>
            <w:r w:rsidR="002829B1">
              <w:t>r kun kan u</w:t>
            </w:r>
            <w:r w:rsidR="002829B1">
              <w:t>d</w:t>
            </w:r>
            <w:r w:rsidR="002829B1">
              <w:t xml:space="preserve">løses et </w:t>
            </w:r>
            <w:r w:rsidR="00BE5ADE" w:rsidRPr="00BE5ADE">
              <w:t>tillæg for sambeskattede se</w:t>
            </w:r>
            <w:r w:rsidR="00BE5ADE" w:rsidRPr="00BE5ADE">
              <w:t>l</w:t>
            </w:r>
            <w:r w:rsidR="00BE5ADE" w:rsidRPr="00BE5ADE">
              <w:lastRenderedPageBreak/>
              <w:t>skaber (administrationsselskabet).</w:t>
            </w:r>
          </w:p>
          <w:p w:rsidR="00296B9B" w:rsidRDefault="00296B9B" w:rsidP="00BE5ADE">
            <w:pPr>
              <w:pStyle w:val="Tabel-BrdtekstmedafstandptekstGaramond"/>
            </w:pPr>
          </w:p>
          <w:p w:rsidR="00296B9B" w:rsidRDefault="00296B9B" w:rsidP="00BE5ADE">
            <w:pPr>
              <w:pStyle w:val="Tabel-BrdtekstmedafstandptekstGaramond"/>
            </w:pPr>
            <w:r>
              <w:t>FSR</w:t>
            </w:r>
            <w:r w:rsidRPr="00296B9B">
              <w:t xml:space="preserve"> formoder, at der for efterfølge</w:t>
            </w:r>
            <w:r w:rsidRPr="00296B9B">
              <w:t>n</w:t>
            </w:r>
            <w:r w:rsidRPr="00296B9B">
              <w:t>de indkomstår alene er krav om at sikre opdatering af underskudsreg</w:t>
            </w:r>
            <w:r w:rsidRPr="00296B9B">
              <w:t>i</w:t>
            </w:r>
            <w:r w:rsidRPr="00296B9B">
              <w:t>streringerne. Lovteknisk vil det derfor være mere brugervenligt, hvis selve bestemmelsen var tilpasset dette fo</w:t>
            </w:r>
            <w:r w:rsidRPr="00296B9B">
              <w:t>r</w:t>
            </w:r>
            <w:r w:rsidRPr="00296B9B">
              <w:t>hold, således at engangsindberetni</w:t>
            </w:r>
            <w:r w:rsidRPr="00296B9B">
              <w:t>n</w:t>
            </w:r>
            <w:r w:rsidRPr="00296B9B">
              <w:t>gen var en ”overgangsbestemmelse” gældende for indkomstårene til og med 2013. Herved vil ændringerne til sambeskatningsbekendtgørelsen om registrering af underskud være bedre overensstemmende med loven. Ska</w:t>
            </w:r>
            <w:r w:rsidRPr="00296B9B">
              <w:t>t</w:t>
            </w:r>
            <w:r w:rsidRPr="00296B9B">
              <w:t xml:space="preserve">teministeriet bedes bekræfte, at </w:t>
            </w:r>
            <w:proofErr w:type="spellStart"/>
            <w:r w:rsidRPr="00296B9B">
              <w:t>FSRs</w:t>
            </w:r>
            <w:proofErr w:type="spellEnd"/>
            <w:r w:rsidRPr="00296B9B">
              <w:t xml:space="preserve"> forståelse er korrekt.</w:t>
            </w:r>
          </w:p>
          <w:p w:rsidR="009A7F61" w:rsidRDefault="009A7F61" w:rsidP="00BE5ADE">
            <w:pPr>
              <w:pStyle w:val="Tabel-BrdtekstmedafstandptekstGaramond"/>
            </w:pPr>
          </w:p>
          <w:p w:rsidR="009A7F61" w:rsidRDefault="009A7F61" w:rsidP="009A7F61">
            <w:pPr>
              <w:pStyle w:val="Tabel-BrdtekstmedafstandptekstGaramond"/>
            </w:pPr>
            <w:r>
              <w:t>FSR</w:t>
            </w:r>
            <w:r w:rsidRPr="009A7F61">
              <w:t xml:space="preserve"> formoder</w:t>
            </w:r>
            <w:r w:rsidR="00A1353B">
              <w:t>,</w:t>
            </w:r>
            <w:r w:rsidRPr="009A7F61">
              <w:t xml:space="preserve"> at </w:t>
            </w:r>
            <w:r>
              <w:t>tillæg</w:t>
            </w:r>
            <w:r w:rsidR="002829B1">
              <w:t>g</w:t>
            </w:r>
            <w:r>
              <w:t>et på 5.000 kr. kun</w:t>
            </w:r>
            <w:r w:rsidRPr="009A7F61">
              <w:t xml:space="preserve"> vedrører førstegangsregistr</w:t>
            </w:r>
            <w:r w:rsidRPr="009A7F61">
              <w:t>e</w:t>
            </w:r>
            <w:r w:rsidRPr="009A7F61">
              <w:t>ring af underskud for indkomstårene 2002-2013, idet den efterfølgende å</w:t>
            </w:r>
            <w:r w:rsidRPr="009A7F61">
              <w:t>r</w:t>
            </w:r>
            <w:r w:rsidRPr="009A7F61">
              <w:t>lige opdatering af underskudsoply</w:t>
            </w:r>
            <w:r w:rsidRPr="009A7F61">
              <w:t>s</w:t>
            </w:r>
            <w:r w:rsidRPr="009A7F61">
              <w:t xml:space="preserve">ninger </w:t>
            </w:r>
            <w:r>
              <w:t xml:space="preserve">er </w:t>
            </w:r>
            <w:r w:rsidRPr="009A7F61">
              <w:t>en del af en behørig selva</w:t>
            </w:r>
            <w:r w:rsidRPr="009A7F61">
              <w:t>n</w:t>
            </w:r>
            <w:r w:rsidRPr="009A7F61">
              <w:t>givelse og dermed er omfattet af de almindelige regler for dagbøder. Hvis det fastholdes som formuleret i lo</w:t>
            </w:r>
            <w:r w:rsidRPr="009A7F61">
              <w:t>v</w:t>
            </w:r>
            <w:r w:rsidRPr="009A7F61">
              <w:t>forslaget</w:t>
            </w:r>
            <w:r w:rsidR="00726ED4">
              <w:t>,</w:t>
            </w:r>
            <w:r w:rsidRPr="009A7F61">
              <w:t xml:space="preserve"> vil der reelt set være pålagt selskaber m.fl. en gentagen indbere</w:t>
            </w:r>
            <w:r w:rsidRPr="009A7F61">
              <w:t>t</w:t>
            </w:r>
            <w:r w:rsidRPr="009A7F61">
              <w:t>ning af allerede selvangivne unde</w:t>
            </w:r>
            <w:r w:rsidRPr="009A7F61">
              <w:t>r</w:t>
            </w:r>
            <w:r w:rsidRPr="009A7F61">
              <w:t>skud, og med en mere belastende sanktion i form af e</w:t>
            </w:r>
            <w:r w:rsidR="000B1BB7">
              <w:t>t fast tillæg</w:t>
            </w:r>
            <w:r>
              <w:t xml:space="preserve"> på 5.000 kr.</w:t>
            </w:r>
            <w:r w:rsidR="00475BB7">
              <w:t xml:space="preserve"> FSR</w:t>
            </w:r>
            <w:r w:rsidRPr="009A7F61">
              <w:t xml:space="preserve"> formoder ikke, at de</w:t>
            </w:r>
            <w:r w:rsidRPr="009A7F61">
              <w:t>n</w:t>
            </w:r>
            <w:r w:rsidRPr="009A7F61">
              <w:t xml:space="preserve">ne væsentlige ændring af gældende regler har været tilsigtet med forslaget, men derimod alene </w:t>
            </w:r>
            <w:r w:rsidR="00726ED4">
              <w:t xml:space="preserve">er </w:t>
            </w:r>
            <w:r w:rsidRPr="009A7F61">
              <w:t>rettet mod e</w:t>
            </w:r>
            <w:r w:rsidRPr="009A7F61">
              <w:t>n</w:t>
            </w:r>
            <w:r w:rsidRPr="009A7F61">
              <w:t>gangsregistreringen. Dette bedes b</w:t>
            </w:r>
            <w:r w:rsidRPr="009A7F61">
              <w:t>e</w:t>
            </w:r>
            <w:r w:rsidRPr="009A7F61">
              <w:t xml:space="preserve">kræftet. </w:t>
            </w:r>
          </w:p>
          <w:p w:rsidR="009A7F61" w:rsidRPr="009A7F61" w:rsidRDefault="009A7F61" w:rsidP="009A7F61">
            <w:pPr>
              <w:pStyle w:val="Tabel-BrdtekstmedafstandptekstGaramond"/>
            </w:pPr>
          </w:p>
          <w:p w:rsidR="009A7F61" w:rsidRDefault="000B1BB7" w:rsidP="009A7F61">
            <w:pPr>
              <w:pStyle w:val="Tabel-BrdtekstmedafstandptekstGaramond"/>
            </w:pPr>
            <w:r>
              <w:t>FSR anmoder</w:t>
            </w:r>
            <w:r w:rsidR="009A7F61" w:rsidRPr="009A7F61">
              <w:t xml:space="preserve"> Skatteministeriet om at bekræfte, at det i sambeskatninger </w:t>
            </w:r>
            <w:r>
              <w:t>kun er</w:t>
            </w:r>
            <w:r w:rsidR="009A7F61" w:rsidRPr="009A7F61">
              <w:t xml:space="preserve"> administrationsselskabet, der pålægges </w:t>
            </w:r>
            <w:r>
              <w:t>et tillæg</w:t>
            </w:r>
            <w:r w:rsidR="009A7F61" w:rsidRPr="009A7F61">
              <w:t xml:space="preserve"> på 5.000 kr. ved manglende indberetning. </w:t>
            </w:r>
          </w:p>
          <w:p w:rsidR="00475BB7" w:rsidRPr="009A7F61" w:rsidRDefault="00475BB7" w:rsidP="009A7F61">
            <w:pPr>
              <w:pStyle w:val="Tabel-BrdtekstmedafstandptekstGaramond"/>
            </w:pPr>
          </w:p>
          <w:p w:rsidR="00A40AA2" w:rsidRDefault="0033033A" w:rsidP="002829B1">
            <w:pPr>
              <w:pStyle w:val="Tabel-BrdtekstmedafstandptekstGaramond"/>
            </w:pPr>
            <w:r>
              <w:t>Endvidere bedes</w:t>
            </w:r>
            <w:r w:rsidR="009A7F61" w:rsidRPr="009A7F61">
              <w:t xml:space="preserve"> Skatteministeriet bekræf</w:t>
            </w:r>
            <w:r w:rsidR="002829B1">
              <w:t xml:space="preserve">te, at der kun vil blive pålagt </w:t>
            </w:r>
            <w:r w:rsidR="009A7F61" w:rsidRPr="009A7F61">
              <w:t>tillæg ved manglende indberetning af underskud, såfremt selsk</w:t>
            </w:r>
            <w:r w:rsidR="009A7F61" w:rsidRPr="009A7F61">
              <w:t>a</w:t>
            </w:r>
            <w:r w:rsidR="009A7F61" w:rsidRPr="009A7F61">
              <w:t>bet/koncernen senere ønsker at gøre brug af dette underskud</w:t>
            </w:r>
            <w:r w:rsidR="00A40AA2">
              <w:t>.</w:t>
            </w:r>
          </w:p>
          <w:p w:rsidR="00A40AA2" w:rsidRDefault="00A40AA2" w:rsidP="002829B1">
            <w:pPr>
              <w:pStyle w:val="Tabel-BrdtekstmedafstandptekstGaramond"/>
            </w:pPr>
          </w:p>
          <w:p w:rsidR="009A7F61" w:rsidRDefault="00A40AA2" w:rsidP="002829B1">
            <w:pPr>
              <w:pStyle w:val="Tabel-BrdtekstmedafstandptekstGaramond"/>
            </w:pPr>
            <w:r>
              <w:t>Endvidere bedes ministeriet bekræfte, at</w:t>
            </w:r>
            <w:r w:rsidR="009A7F61" w:rsidRPr="009A7F61">
              <w:t xml:space="preserve"> efterfølgende ændring af fejl i rett</w:t>
            </w:r>
            <w:r w:rsidR="009A7F61" w:rsidRPr="009A7F61">
              <w:t>i</w:t>
            </w:r>
            <w:r w:rsidR="009A7F61" w:rsidRPr="009A7F61">
              <w:t>digt foretagne indberetninger ikke vil resul</w:t>
            </w:r>
            <w:r w:rsidR="002829B1">
              <w:t xml:space="preserve">tere i </w:t>
            </w:r>
            <w:r w:rsidR="009A7F61" w:rsidRPr="009A7F61">
              <w:t>tillæg. Tilsvarende vil en undladt registrering som følge af ikke erkendte skattemæssige underskud (der kan eksempelvis pågå en ko</w:t>
            </w:r>
            <w:r w:rsidR="009A7F61" w:rsidRPr="009A7F61">
              <w:t>n</w:t>
            </w:r>
            <w:r w:rsidR="009A7F61" w:rsidRPr="009A7F61">
              <w:t>trolsag her</w:t>
            </w:r>
            <w:r w:rsidR="002829B1">
              <w:t xml:space="preserve">om) ikke medføre </w:t>
            </w:r>
            <w:r w:rsidR="009A7F61" w:rsidRPr="009A7F61">
              <w:t>tillæg, men vil blive anset som en efterfø</w:t>
            </w:r>
            <w:r w:rsidR="009A7F61" w:rsidRPr="009A7F61">
              <w:t>l</w:t>
            </w:r>
            <w:r w:rsidR="009A7F61" w:rsidRPr="009A7F61">
              <w:t>gende rettelse uden sanktion. Hvis Skatteministeriet ikke kan bekræfte dette, da bedes det oplyst</w:t>
            </w:r>
            <w:r w:rsidR="00A1353B">
              <w:t>,</w:t>
            </w:r>
            <w:r w:rsidR="009A7F61" w:rsidRPr="009A7F61">
              <w:t xml:space="preserve"> hvorledes en positiv registrering af 0-un</w:t>
            </w:r>
            <w:r w:rsidR="00D46C75">
              <w:t xml:space="preserve">derskud vil blive vurderet i forhold til </w:t>
            </w:r>
            <w:r w:rsidR="009A7F61" w:rsidRPr="009A7F61">
              <w:t>man</w:t>
            </w:r>
            <w:r w:rsidR="009A7F61" w:rsidRPr="009A7F61">
              <w:t>g</w:t>
            </w:r>
            <w:r w:rsidR="009A7F61" w:rsidRPr="009A7F61">
              <w:t>lende indberetning.</w:t>
            </w:r>
          </w:p>
          <w:p w:rsidR="002829B1" w:rsidRDefault="002829B1" w:rsidP="002829B1">
            <w:pPr>
              <w:pStyle w:val="Tabel-BrdtekstmedafstandptekstGaramond"/>
            </w:pPr>
          </w:p>
          <w:p w:rsidR="002829B1" w:rsidRDefault="002829B1" w:rsidP="002829B1">
            <w:pPr>
              <w:pStyle w:val="Tabel-BrdtekstmedafstandptekstGaramond"/>
            </w:pPr>
            <w:r>
              <w:t>FSR</w:t>
            </w:r>
            <w:r w:rsidRPr="002829B1">
              <w:t xml:space="preserve"> antager, at det ikke vil have b</w:t>
            </w:r>
            <w:r w:rsidRPr="002829B1">
              <w:t>e</w:t>
            </w:r>
            <w:r w:rsidRPr="002829B1">
              <w:t>tydning</w:t>
            </w:r>
            <w:r>
              <w:t>,</w:t>
            </w:r>
            <w:r w:rsidRPr="002829B1">
              <w:t xml:space="preserve"> at et selskab kun har deltaget i en sambeskatning i en del af in</w:t>
            </w:r>
            <w:r w:rsidRPr="002829B1">
              <w:t>d</w:t>
            </w:r>
            <w:r w:rsidRPr="002829B1">
              <w:t>komståret, da det indtil da særbeska</w:t>
            </w:r>
            <w:r w:rsidRPr="002829B1">
              <w:t>t</w:t>
            </w:r>
            <w:r w:rsidRPr="002829B1">
              <w:t>tede selskab må anses for at være o</w:t>
            </w:r>
            <w:r w:rsidRPr="002829B1">
              <w:t>m</w:t>
            </w:r>
            <w:r w:rsidRPr="002829B1">
              <w:t>fattet af administrationsse</w:t>
            </w:r>
            <w:r w:rsidR="00634A1A">
              <w:t>lskabets pligt til indberetning</w:t>
            </w:r>
            <w:r w:rsidRPr="002829B1">
              <w:t xml:space="preserve"> og dermed ikke samtidig kan være pålagt en egen sæ</w:t>
            </w:r>
            <w:r w:rsidRPr="002829B1">
              <w:t>r</w:t>
            </w:r>
            <w:r w:rsidRPr="002829B1">
              <w:t xml:space="preserve">skilt indberetningspligt. Dette bedes bekræftet. </w:t>
            </w:r>
          </w:p>
          <w:p w:rsidR="002829B1" w:rsidRPr="002829B1" w:rsidRDefault="002829B1" w:rsidP="002829B1">
            <w:pPr>
              <w:pStyle w:val="Tabel-BrdtekstmedafstandptekstGaramond"/>
            </w:pPr>
          </w:p>
          <w:p w:rsidR="002829B1" w:rsidRDefault="002829B1" w:rsidP="002829B1">
            <w:pPr>
              <w:pStyle w:val="Tabel-BrdtekstmedafstandptekstGaramond"/>
            </w:pPr>
            <w:r w:rsidRPr="002829B1">
              <w:t>Det anføres under punkt 4 i de a</w:t>
            </w:r>
            <w:r w:rsidRPr="002829B1">
              <w:t>l</w:t>
            </w:r>
            <w:r w:rsidRPr="002829B1">
              <w:t>mindelige bemærkninger til lovforsl</w:t>
            </w:r>
            <w:r w:rsidRPr="002829B1">
              <w:t>a</w:t>
            </w:r>
            <w:r w:rsidRPr="002829B1">
              <w:t>get, at det er besluttet, at DIAS ikke fuldt ud vil overtage underskudsb</w:t>
            </w:r>
            <w:r w:rsidRPr="002829B1">
              <w:t>e</w:t>
            </w:r>
            <w:r w:rsidRPr="002829B1">
              <w:t>regningen, men alene vil komme med et forslag til underskud</w:t>
            </w:r>
            <w:r w:rsidR="00223909">
              <w:t>s</w:t>
            </w:r>
            <w:r w:rsidRPr="002829B1">
              <w:t xml:space="preserve">beregning. </w:t>
            </w:r>
          </w:p>
          <w:p w:rsidR="000615A3" w:rsidRPr="002829B1" w:rsidRDefault="000615A3" w:rsidP="002829B1">
            <w:pPr>
              <w:pStyle w:val="Tabel-BrdtekstmedafstandptekstGaramond"/>
            </w:pPr>
          </w:p>
          <w:p w:rsidR="002829B1" w:rsidRDefault="002829B1" w:rsidP="002829B1">
            <w:pPr>
              <w:pStyle w:val="Tabel-BrdtekstmedafstandptekstGaramond"/>
            </w:pPr>
            <w:r w:rsidRPr="002829B1">
              <w:t>For det første bedes Skatteministeriet oplyse, hvorvidt – og i givet fald hvi</w:t>
            </w:r>
            <w:r w:rsidRPr="002829B1">
              <w:t>l</w:t>
            </w:r>
            <w:r w:rsidRPr="002829B1">
              <w:lastRenderedPageBreak/>
              <w:t>ke – forpligtelser skatteyderen har med hensyn til det forslag til unde</w:t>
            </w:r>
            <w:r w:rsidRPr="002829B1">
              <w:t>r</w:t>
            </w:r>
            <w:r w:rsidRPr="002829B1">
              <w:t xml:space="preserve">skudsberegning, der vil komme fra DIAS. Hvis skatteyderen har nogen forpligtelser i denne forbindelse, fx til at gennemgå og verificere forslaget fra DIAS, bør dette udtrykkeligt anføres i loven. </w:t>
            </w:r>
          </w:p>
          <w:p w:rsidR="00D9163A" w:rsidRDefault="00D9163A" w:rsidP="002829B1">
            <w:pPr>
              <w:pStyle w:val="Tabel-BrdtekstmedafstandptekstGaramond"/>
            </w:pPr>
          </w:p>
          <w:p w:rsidR="00D9163A" w:rsidRDefault="00D9163A" w:rsidP="002829B1">
            <w:pPr>
              <w:pStyle w:val="Tabel-BrdtekstmedafstandptekstGaramond"/>
            </w:pPr>
          </w:p>
          <w:p w:rsidR="00D9163A" w:rsidRDefault="00D9163A" w:rsidP="002829B1">
            <w:pPr>
              <w:pStyle w:val="Tabel-BrdtekstmedafstandptekstGaramond"/>
            </w:pPr>
          </w:p>
          <w:p w:rsidR="000615A3" w:rsidRDefault="000615A3" w:rsidP="002829B1">
            <w:pPr>
              <w:pStyle w:val="Tabel-BrdtekstmedafstandptekstGaramond"/>
            </w:pPr>
          </w:p>
          <w:p w:rsidR="00526EB5" w:rsidRDefault="00526EB5" w:rsidP="002829B1">
            <w:pPr>
              <w:pStyle w:val="Tabel-BrdtekstmedafstandptekstGaramond"/>
            </w:pPr>
          </w:p>
          <w:p w:rsidR="00526EB5" w:rsidRDefault="00526EB5" w:rsidP="002829B1">
            <w:pPr>
              <w:pStyle w:val="Tabel-BrdtekstmedafstandptekstGaramond"/>
            </w:pPr>
          </w:p>
          <w:p w:rsidR="00526EB5" w:rsidRPr="002829B1" w:rsidRDefault="00526EB5" w:rsidP="002829B1">
            <w:pPr>
              <w:pStyle w:val="Tabel-BrdtekstmedafstandptekstGaramond"/>
            </w:pPr>
          </w:p>
          <w:p w:rsidR="002829B1" w:rsidRPr="00A40AA2" w:rsidRDefault="002829B1" w:rsidP="000615A3">
            <w:pPr>
              <w:pStyle w:val="Tabel-BrdtekstmedafstandptekstGaramond"/>
            </w:pPr>
            <w:r w:rsidRPr="002829B1">
              <w:t xml:space="preserve">For det andet </w:t>
            </w:r>
            <w:r w:rsidR="000615A3">
              <w:t>bedes</w:t>
            </w:r>
            <w:r w:rsidRPr="002829B1">
              <w:t xml:space="preserve"> Skatteministeriet oplyse, hvad konsekvenserne i relat</w:t>
            </w:r>
            <w:r w:rsidRPr="002829B1">
              <w:t>i</w:t>
            </w:r>
            <w:r w:rsidRPr="002829B1">
              <w:t>on til fristreglerne i skatteforval</w:t>
            </w:r>
            <w:r w:rsidRPr="002829B1">
              <w:t>t</w:t>
            </w:r>
            <w:r w:rsidRPr="002829B1">
              <w:t>ningslovens §§ 26 og 27 er af, at D</w:t>
            </w:r>
            <w:r w:rsidRPr="002829B1">
              <w:t>I</w:t>
            </w:r>
            <w:r w:rsidRPr="002829B1">
              <w:t>AS alene vil fremkomme med et fo</w:t>
            </w:r>
            <w:r w:rsidRPr="002829B1">
              <w:t>r</w:t>
            </w:r>
            <w:r w:rsidRPr="002829B1">
              <w:t>slag til underskudsberegning. Når der alene er tale om et forslag, kan unde</w:t>
            </w:r>
            <w:r w:rsidRPr="002829B1">
              <w:t>r</w:t>
            </w:r>
            <w:r w:rsidRPr="002829B1">
              <w:t>skudsberegningen vel ikke være en del af skatteansættelsen? I så fald synes fristreglerne ikke at ville kunne finde anvendelse på fremførte underskud.</w:t>
            </w:r>
          </w:p>
        </w:tc>
        <w:tc>
          <w:tcPr>
            <w:tcW w:w="112" w:type="dxa"/>
            <w:shd w:val="clear" w:color="auto" w:fill="FFFFFF" w:themeFill="background1"/>
          </w:tcPr>
          <w:p w:rsidR="00C236D4" w:rsidRPr="00B5346F" w:rsidRDefault="00C236D4" w:rsidP="001A1477"/>
        </w:tc>
        <w:tc>
          <w:tcPr>
            <w:tcW w:w="3665" w:type="dxa"/>
            <w:tcBorders>
              <w:top w:val="single" w:sz="4" w:space="0" w:color="14143C" w:themeColor="accent1"/>
              <w:bottom w:val="single" w:sz="4" w:space="0" w:color="14143C" w:themeColor="accent1"/>
            </w:tcBorders>
            <w:shd w:val="clear" w:color="auto" w:fill="D2CED8"/>
          </w:tcPr>
          <w:p w:rsidR="00C236D4" w:rsidRDefault="00C236D4" w:rsidP="001A1477">
            <w:pPr>
              <w:pStyle w:val="Tabel-BrdtekstmedafstandptekstGaramond"/>
            </w:pPr>
          </w:p>
          <w:p w:rsidR="00427323" w:rsidRDefault="00683E96" w:rsidP="00427323">
            <w:pPr>
              <w:pStyle w:val="Tabel-BrdtekstmedafstandptekstGaramond"/>
            </w:pPr>
            <w:r>
              <w:t>De foreslåede omg</w:t>
            </w:r>
            <w:r w:rsidR="00F44639">
              <w:t>åelsesklausuler</w:t>
            </w:r>
            <w:r>
              <w:t xml:space="preserve"> er ikke en adgang for SKAT til at træffe vilkårlige afgørelser. </w:t>
            </w:r>
            <w:r w:rsidR="00427323">
              <w:t>De foreslåede omgåelsesklausuler er inter</w:t>
            </w:r>
            <w:r w:rsidR="00676DDA">
              <w:t>nationalt vedtagne</w:t>
            </w:r>
            <w:r w:rsidR="00427323">
              <w:t xml:space="preserve"> standarder, hvis formål er at imødegå, at skattepligtige opnår ska</w:t>
            </w:r>
            <w:r w:rsidR="00427323">
              <w:t>t</w:t>
            </w:r>
            <w:r w:rsidR="00427323">
              <w:t xml:space="preserve">tefordele </w:t>
            </w:r>
            <w:r>
              <w:t xml:space="preserve">efter direktiverne </w:t>
            </w:r>
            <w:r w:rsidR="00676DDA">
              <w:t>eller</w:t>
            </w:r>
            <w:r>
              <w:t xml:space="preserve"> do</w:t>
            </w:r>
            <w:r>
              <w:t>b</w:t>
            </w:r>
            <w:r>
              <w:t>beltbeskatnings</w:t>
            </w:r>
            <w:r w:rsidR="0024673C">
              <w:t>aftalerne</w:t>
            </w:r>
            <w:r w:rsidR="00676DDA">
              <w:t>,</w:t>
            </w:r>
            <w:r w:rsidR="0024673C">
              <w:t xml:space="preserve"> som </w:t>
            </w:r>
            <w:r w:rsidR="00427323">
              <w:t>de e</w:t>
            </w:r>
            <w:r w:rsidR="00427323">
              <w:t>l</w:t>
            </w:r>
            <w:r w:rsidR="00427323">
              <w:t>lers ik</w:t>
            </w:r>
            <w:r w:rsidR="00676DDA">
              <w:t>ke ville være berettigede</w:t>
            </w:r>
            <w:r w:rsidR="00427323">
              <w:t xml:space="preserve"> til. Netop det forhold, at der er tale om internationale standarder</w:t>
            </w:r>
            <w:r w:rsidR="00676DDA">
              <w:t>,</w:t>
            </w:r>
            <w:r w:rsidR="00427323">
              <w:t xml:space="preserve"> betyder, at man undgår forskellige standarder i lan</w:t>
            </w:r>
            <w:r w:rsidR="00F44639">
              <w:t xml:space="preserve">dene, og dermed </w:t>
            </w:r>
            <w:r w:rsidR="00676DDA">
              <w:t xml:space="preserve">at man </w:t>
            </w:r>
            <w:r w:rsidR="00365201">
              <w:t xml:space="preserve">opnår </w:t>
            </w:r>
            <w:r w:rsidR="00F44639">
              <w:t xml:space="preserve">en </w:t>
            </w:r>
            <w:r w:rsidR="00B10B4F">
              <w:t>højere</w:t>
            </w:r>
            <w:r w:rsidR="00F44639">
              <w:t xml:space="preserve"> grad af retssikkerhed</w:t>
            </w:r>
            <w:r w:rsidR="00427323">
              <w:t>.</w:t>
            </w:r>
          </w:p>
          <w:p w:rsidR="00427323" w:rsidRDefault="00427323" w:rsidP="00427323">
            <w:pPr>
              <w:pStyle w:val="Tabel-BrdtekstmedafstandptekstGaramond"/>
            </w:pPr>
          </w:p>
          <w:p w:rsidR="009922E3" w:rsidRDefault="009922E3" w:rsidP="00F44639">
            <w:pPr>
              <w:pStyle w:val="Tabel-BrdtekstmedafstandptekstGaramond"/>
            </w:pPr>
          </w:p>
          <w:p w:rsidR="00D17306" w:rsidRDefault="00D17306" w:rsidP="00F44639">
            <w:pPr>
              <w:pStyle w:val="Tabel-BrdtekstmedafstandptekstGaramond"/>
            </w:pPr>
          </w:p>
          <w:p w:rsidR="00D17306" w:rsidRDefault="00D17306" w:rsidP="00F44639">
            <w:pPr>
              <w:pStyle w:val="Tabel-BrdtekstmedafstandptekstGaramond"/>
            </w:pPr>
          </w:p>
          <w:p w:rsidR="00D17306" w:rsidRDefault="00D17306" w:rsidP="00F44639">
            <w:pPr>
              <w:pStyle w:val="Tabel-BrdtekstmedafstandptekstGaramond"/>
            </w:pPr>
          </w:p>
          <w:p w:rsidR="00D17306" w:rsidRDefault="00D17306" w:rsidP="00F44639">
            <w:pPr>
              <w:pStyle w:val="Tabel-BrdtekstmedafstandptekstGaramond"/>
            </w:pPr>
          </w:p>
          <w:p w:rsidR="00D17306" w:rsidRDefault="00D17306" w:rsidP="00F44639">
            <w:pPr>
              <w:pStyle w:val="Tabel-BrdtekstmedafstandptekstGaramond"/>
            </w:pPr>
          </w:p>
          <w:p w:rsidR="00D17306" w:rsidRDefault="00D17306" w:rsidP="00D17306">
            <w:pPr>
              <w:pStyle w:val="Tabel-BrdtekstmedafstandptekstGaramond"/>
              <w:ind w:left="0"/>
            </w:pPr>
          </w:p>
          <w:p w:rsidR="00427323" w:rsidRDefault="00D2148B" w:rsidP="00D2148B">
            <w:pPr>
              <w:pStyle w:val="Tabel-BrdtekstmedafstandptekstGaramond"/>
            </w:pPr>
            <w:r>
              <w:t>De foreslåede omgåelsesklausuler i</w:t>
            </w:r>
            <w:r>
              <w:t>n</w:t>
            </w:r>
            <w:r>
              <w:t xml:space="preserve">deholder </w:t>
            </w:r>
            <w:r w:rsidR="00AC374A">
              <w:t xml:space="preserve">tekstmæssige forskelle. Det vurderes imidlertid, at der </w:t>
            </w:r>
            <w:r>
              <w:t>ikke</w:t>
            </w:r>
            <w:r w:rsidR="00AC374A">
              <w:t xml:space="preserve"> er </w:t>
            </w:r>
            <w:r>
              <w:t>in</w:t>
            </w:r>
            <w:r>
              <w:t>d</w:t>
            </w:r>
            <w:r>
              <w:t>holdsmæssige forskelle</w:t>
            </w:r>
            <w:r w:rsidR="00676DDA">
              <w:t xml:space="preserve">. Det er således opfattelsen, at </w:t>
            </w:r>
            <w:proofErr w:type="spellStart"/>
            <w:r w:rsidR="00CF3297">
              <w:t>OECDs</w:t>
            </w:r>
            <w:proofErr w:type="spellEnd"/>
            <w:r w:rsidR="00CF3297">
              <w:t xml:space="preserve"> omgåelse</w:t>
            </w:r>
            <w:r w:rsidR="00CF3297">
              <w:t>s</w:t>
            </w:r>
            <w:r w:rsidR="00CF3297">
              <w:lastRenderedPageBreak/>
              <w:t>klausul</w:t>
            </w:r>
            <w:r w:rsidR="00676DDA">
              <w:t xml:space="preserve"> bør fortolkes således</w:t>
            </w:r>
            <w:r w:rsidR="00CF3297">
              <w:t>, at den ikke finder anvendelse i tilfælde af reel økonomisk aktivitet</w:t>
            </w:r>
            <w:r w:rsidR="00676DDA">
              <w:t xml:space="preserve">, jf. at den </w:t>
            </w:r>
            <w:r w:rsidR="00CF3297">
              <w:t>henv</w:t>
            </w:r>
            <w:r w:rsidR="00CF3297">
              <w:t>i</w:t>
            </w:r>
            <w:r w:rsidR="00CF3297">
              <w:t>s</w:t>
            </w:r>
            <w:r w:rsidR="00676DDA">
              <w:t xml:space="preserve">er </w:t>
            </w:r>
            <w:r w:rsidR="00CF3297">
              <w:t>til hensigten og indholdet af ove</w:t>
            </w:r>
            <w:r w:rsidR="00CF3297">
              <w:t>r</w:t>
            </w:r>
            <w:r w:rsidR="00CF3297">
              <w:t>enskomsten</w:t>
            </w:r>
            <w:r>
              <w:t xml:space="preserve">. </w:t>
            </w:r>
          </w:p>
          <w:p w:rsidR="00D2148B" w:rsidRDefault="00D2148B" w:rsidP="00D2148B">
            <w:pPr>
              <w:pStyle w:val="Tabel-BrdtekstmedafstandptekstGaramond"/>
            </w:pPr>
          </w:p>
          <w:p w:rsidR="00D2148B" w:rsidRDefault="00D2148B" w:rsidP="00D2148B">
            <w:pPr>
              <w:pStyle w:val="Tabel-BrdtekstmedafstandptekstGaramond"/>
            </w:pPr>
            <w:r>
              <w:t>De foreslåede omgåelsesklausuler skal hindre skattepligtige i at foretage d</w:t>
            </w:r>
            <w:r>
              <w:t>i</w:t>
            </w:r>
            <w:r>
              <w:t>spositioner, der går ud på at undgå at betale skat. De skattepligtige, der d</w:t>
            </w:r>
            <w:r>
              <w:t>i</w:t>
            </w:r>
            <w:r>
              <w:t xml:space="preserve">sponerer </w:t>
            </w:r>
            <w:r w:rsidR="0024673C">
              <w:t xml:space="preserve">på baggrund af </w:t>
            </w:r>
            <w:r>
              <w:t>velbegru</w:t>
            </w:r>
            <w:r>
              <w:t>n</w:t>
            </w:r>
            <w:r>
              <w:t>dede kommercielle årsager, har ikke grund til at bekymre sig om reglerne.</w:t>
            </w:r>
          </w:p>
          <w:p w:rsidR="00D2148B" w:rsidRDefault="00D2148B" w:rsidP="00D2148B">
            <w:pPr>
              <w:pStyle w:val="Tabel-BrdtekstmedafstandptekstGaramond"/>
            </w:pPr>
          </w:p>
          <w:p w:rsidR="00D64A79" w:rsidRDefault="00D64A79" w:rsidP="00D2148B">
            <w:pPr>
              <w:pStyle w:val="Tabel-BrdtekstmedafstandptekstGaramond"/>
            </w:pPr>
            <w:r>
              <w:t xml:space="preserve">I forhold til direktiverne påhviler det SKAT at </w:t>
            </w:r>
            <w:r w:rsidR="00BE2B84">
              <w:t>fastslå</w:t>
            </w:r>
            <w:r>
              <w:t xml:space="preserve">, at der er tale om et arrangement med det </w:t>
            </w:r>
            <w:r w:rsidR="00B36896">
              <w:t>hoved</w:t>
            </w:r>
            <w:r>
              <w:t xml:space="preserve">formål </w:t>
            </w:r>
            <w:r w:rsidR="00B36896">
              <w:t xml:space="preserve">(eller at et af hovedformålene er) </w:t>
            </w:r>
            <w:r>
              <w:t>at opnå en skattefordel, der virker mod indholdet eller formålet med direkt</w:t>
            </w:r>
            <w:r>
              <w:t>i</w:t>
            </w:r>
            <w:r>
              <w:t>ver</w:t>
            </w:r>
            <w:r w:rsidR="00B36896">
              <w:t>ne. SKAT skal i den forbindelse foretage en objektiv analyse på ba</w:t>
            </w:r>
            <w:r w:rsidR="00B36896">
              <w:t>g</w:t>
            </w:r>
            <w:r w:rsidR="00B36896">
              <w:t>grund af alle</w:t>
            </w:r>
            <w:r>
              <w:t xml:space="preserve"> relevante faktiske fo</w:t>
            </w:r>
            <w:r>
              <w:t>r</w:t>
            </w:r>
            <w:r>
              <w:t xml:space="preserve">hold og omstændigheder. </w:t>
            </w:r>
          </w:p>
          <w:p w:rsidR="00D64A79" w:rsidRDefault="00D64A79" w:rsidP="00D2148B">
            <w:pPr>
              <w:pStyle w:val="Tabel-BrdtekstmedafstandptekstGaramond"/>
            </w:pPr>
          </w:p>
          <w:p w:rsidR="00D64A79" w:rsidRDefault="00676DDA" w:rsidP="00D2148B">
            <w:pPr>
              <w:pStyle w:val="Tabel-BrdtekstmedafstandptekstGaramond"/>
            </w:pPr>
            <w:r>
              <w:t xml:space="preserve">Den </w:t>
            </w:r>
            <w:r w:rsidR="00D64A79">
              <w:t>skattepligtige</w:t>
            </w:r>
            <w:r>
              <w:t xml:space="preserve"> har dog mulighed for konkret</w:t>
            </w:r>
            <w:r w:rsidR="00D64A79">
              <w:t xml:space="preserve"> </w:t>
            </w:r>
            <w:r w:rsidR="00491CB5">
              <w:t>at godtgøre, at arrang</w:t>
            </w:r>
            <w:r w:rsidR="00491CB5">
              <w:t>e</w:t>
            </w:r>
            <w:r w:rsidR="00491CB5">
              <w:t>mentet er tilrettelagt af velbegrundede kommercielle årsager, der afspejler den økonomiske virkelighed. Dette må den skattepligtige alt andet lige også være den nærmeste til at godtg</w:t>
            </w:r>
            <w:r w:rsidR="00491CB5">
              <w:t>ø</w:t>
            </w:r>
            <w:r w:rsidR="00491CB5">
              <w:t>re.</w:t>
            </w:r>
          </w:p>
          <w:p w:rsidR="00491CB5" w:rsidRDefault="00491CB5" w:rsidP="00D2148B">
            <w:pPr>
              <w:pStyle w:val="Tabel-BrdtekstmedafstandptekstGaramond"/>
            </w:pPr>
          </w:p>
          <w:p w:rsidR="00B24315" w:rsidRDefault="00491CB5" w:rsidP="00491CB5">
            <w:pPr>
              <w:pStyle w:val="Tabel-BrdtekstmedafstandptekstGaramond"/>
            </w:pPr>
            <w:r>
              <w:t>I forhold til dobbeltbeskatningsove</w:t>
            </w:r>
            <w:r>
              <w:t>r</w:t>
            </w:r>
            <w:r>
              <w:t>enskomsterne påhviler det SKAT u</w:t>
            </w:r>
            <w:r>
              <w:t>n</w:t>
            </w:r>
            <w:r>
              <w:t>der hensyn til alle relevante faktiske forhold og omstændigheder</w:t>
            </w:r>
            <w:r w:rsidR="00676DDA">
              <w:t xml:space="preserve"> at fastslå</w:t>
            </w:r>
            <w:r>
              <w:t>, at opnåelse af fordelen er et af de v</w:t>
            </w:r>
            <w:r>
              <w:t>æ</w:t>
            </w:r>
            <w:r>
              <w:t>sentligste formål med arrangementet eller transaktionen</w:t>
            </w:r>
            <w:r w:rsidR="00B24315">
              <w:t>, som direkte eller indirekte medfører fordelen.</w:t>
            </w:r>
          </w:p>
          <w:p w:rsidR="00B24315" w:rsidRDefault="00B24315" w:rsidP="00491CB5">
            <w:pPr>
              <w:pStyle w:val="Tabel-BrdtekstmedafstandptekstGaramond"/>
            </w:pPr>
          </w:p>
          <w:p w:rsidR="007A1C8C" w:rsidRDefault="00676DDA" w:rsidP="00491CB5">
            <w:pPr>
              <w:pStyle w:val="Tabel-BrdtekstmedafstandptekstGaramond"/>
            </w:pPr>
            <w:r>
              <w:t>D</w:t>
            </w:r>
            <w:r w:rsidR="00B24315">
              <w:t>en skattepligtige</w:t>
            </w:r>
            <w:r>
              <w:t xml:space="preserve"> har dog mulighed </w:t>
            </w:r>
            <w:r>
              <w:lastRenderedPageBreak/>
              <w:t>for konkret</w:t>
            </w:r>
            <w:r w:rsidR="00B24315">
              <w:t xml:space="preserve"> at godtgøre, at indrø</w:t>
            </w:r>
            <w:r w:rsidR="00B24315">
              <w:t>m</w:t>
            </w:r>
            <w:r w:rsidR="00B24315">
              <w:t>melsen af fordelen er i overensste</w:t>
            </w:r>
            <w:r w:rsidR="00B24315">
              <w:t>m</w:t>
            </w:r>
            <w:r w:rsidR="00B24315">
              <w:t xml:space="preserve">melse med indholdet og formålet med overenskomsten. </w:t>
            </w:r>
            <w:r w:rsidR="00B36896">
              <w:t>Hvis arrangementet eller transaktionen er tilrettelagt af velbegrundede kommercielle årsager, der afspejler den økonomiske virk</w:t>
            </w:r>
            <w:r w:rsidR="00B36896">
              <w:t>e</w:t>
            </w:r>
            <w:r w:rsidR="00B36896">
              <w:t>lighed, vil der formentligt være tale om et arrangement eller en transakt</w:t>
            </w:r>
            <w:r w:rsidR="00B36896">
              <w:t>i</w:t>
            </w:r>
            <w:r w:rsidR="00B36896">
              <w:t xml:space="preserve">on, der er i </w:t>
            </w:r>
            <w:r w:rsidR="00AB013B">
              <w:t>overensstemmelse med indholdet og formålet med overen</w:t>
            </w:r>
            <w:r w:rsidR="00AB013B">
              <w:t>s</w:t>
            </w:r>
            <w:r w:rsidR="00AB013B">
              <w:t>komsten.</w:t>
            </w:r>
          </w:p>
          <w:p w:rsidR="00AB013B" w:rsidRDefault="00AB013B" w:rsidP="00491CB5">
            <w:pPr>
              <w:pStyle w:val="Tabel-BrdtekstmedafstandptekstGaramond"/>
            </w:pPr>
          </w:p>
          <w:p w:rsidR="00AB013B" w:rsidRDefault="00660317" w:rsidP="00491CB5">
            <w:pPr>
              <w:pStyle w:val="Tabel-BrdtekstmedafstandptekstGaramond"/>
            </w:pPr>
            <w:r>
              <w:t>D</w:t>
            </w:r>
            <w:r w:rsidR="006B433E">
              <w:t>e to analyser</w:t>
            </w:r>
            <w:r>
              <w:t xml:space="preserve"> er således</w:t>
            </w:r>
            <w:r w:rsidR="006B433E">
              <w:t xml:space="preserve"> gan</w:t>
            </w:r>
            <w:r w:rsidR="00AB013B">
              <w:t>ske ens.</w:t>
            </w:r>
          </w:p>
          <w:p w:rsidR="007A1C8C" w:rsidRDefault="007A1C8C" w:rsidP="00491CB5">
            <w:pPr>
              <w:pStyle w:val="Tabel-BrdtekstmedafstandptekstGaramond"/>
            </w:pPr>
          </w:p>
          <w:p w:rsidR="00660317" w:rsidRDefault="00660317" w:rsidP="00491CB5">
            <w:pPr>
              <w:pStyle w:val="Tabel-BrdtekstmedafstandptekstGaramond"/>
            </w:pPr>
          </w:p>
          <w:p w:rsidR="0024673C" w:rsidRDefault="007A1C8C" w:rsidP="007A1C8C">
            <w:pPr>
              <w:pStyle w:val="Tabel-BrdtekstmedafstandptekstGaramond"/>
            </w:pPr>
            <w:r>
              <w:t>De foreslåede omgåelsesklausuler har virkning for fremtidige transaktioner</w:t>
            </w:r>
            <w:r w:rsidR="009729F2">
              <w:t xml:space="preserve"> og trin i arrangementer</w:t>
            </w:r>
            <w:r>
              <w:t>. Det forhold, at der er tale om transaktioner</w:t>
            </w:r>
            <w:r w:rsidR="009729F2">
              <w:t xml:space="preserve"> eller trin i arrangementer</w:t>
            </w:r>
            <w:r>
              <w:t>, der basere</w:t>
            </w:r>
            <w:r w:rsidR="00660317">
              <w:t>r</w:t>
            </w:r>
            <w:r>
              <w:t xml:space="preserve"> sig på dispositioner, som er indgået før omgåelsesklausulernes ikrafttrædelse </w:t>
            </w:r>
            <w:r w:rsidR="00660317">
              <w:t>ændrer ikke herpå</w:t>
            </w:r>
            <w:r>
              <w:t>. Omgåelsesklaus</w:t>
            </w:r>
            <w:r>
              <w:t>u</w:t>
            </w:r>
            <w:r>
              <w:t>lerne skal hindre misbrug, og hvis der er tale om transaktioner</w:t>
            </w:r>
            <w:r w:rsidR="009729F2">
              <w:t xml:space="preserve"> eller trin i a</w:t>
            </w:r>
            <w:r w:rsidR="009729F2">
              <w:t>r</w:t>
            </w:r>
            <w:r w:rsidR="009729F2">
              <w:t>rangementer</w:t>
            </w:r>
            <w:r>
              <w:t>, hvori der indgår et mi</w:t>
            </w:r>
            <w:r>
              <w:t>s</w:t>
            </w:r>
            <w:r>
              <w:t>brug skal det omfattes. Der ses ikke at være grundlag for at frede de skatt</w:t>
            </w:r>
            <w:r>
              <w:t>e</w:t>
            </w:r>
            <w:r>
              <w:t>pligtige, der efter reglerne uberettiget har opnået en fordel.</w:t>
            </w:r>
          </w:p>
          <w:p w:rsidR="0024673C" w:rsidRDefault="0024673C" w:rsidP="007A1C8C">
            <w:pPr>
              <w:pStyle w:val="Tabel-BrdtekstmedafstandptekstGaramond"/>
            </w:pPr>
          </w:p>
          <w:p w:rsidR="00AC374A" w:rsidRDefault="00AC374A" w:rsidP="007A1C8C">
            <w:pPr>
              <w:pStyle w:val="Tabel-BrdtekstmedafstandptekstGaramond"/>
            </w:pPr>
            <w:r>
              <w:t>Det kan bekræftes, at der er tale om en ordret implementering af direkt</w:t>
            </w:r>
            <w:r>
              <w:t>i</w:t>
            </w:r>
            <w:r>
              <w:t>vets omgåelsesklausul.</w:t>
            </w:r>
          </w:p>
          <w:p w:rsidR="00AC374A" w:rsidRDefault="00AC374A" w:rsidP="007A1C8C">
            <w:pPr>
              <w:pStyle w:val="Tabel-BrdtekstmedafstandptekstGaramond"/>
            </w:pPr>
          </w:p>
          <w:p w:rsidR="00491CB5" w:rsidRDefault="00AC374A" w:rsidP="007A1C8C">
            <w:pPr>
              <w:pStyle w:val="Tabel-BrdtekstmedafstandptekstGaramond"/>
            </w:pPr>
            <w:r>
              <w:t>O</w:t>
            </w:r>
            <w:r w:rsidR="009729F2">
              <w:t xml:space="preserve">mgåelsesklausulen er </w:t>
            </w:r>
            <w:r>
              <w:t>i nogen u</w:t>
            </w:r>
            <w:r>
              <w:t>d</w:t>
            </w:r>
            <w:r>
              <w:t xml:space="preserve">strækning </w:t>
            </w:r>
            <w:r w:rsidR="009729F2">
              <w:t>inspireret af domspraksis</w:t>
            </w:r>
            <w:r w:rsidR="0024673C">
              <w:t>.</w:t>
            </w:r>
            <w:r w:rsidR="007A1C8C">
              <w:t xml:space="preserve"> </w:t>
            </w:r>
            <w:r w:rsidR="00491CB5">
              <w:t xml:space="preserve"> </w:t>
            </w:r>
          </w:p>
          <w:p w:rsidR="0024673C" w:rsidRDefault="0024673C" w:rsidP="007A1C8C">
            <w:pPr>
              <w:pStyle w:val="Tabel-BrdtekstmedafstandptekstGaramond"/>
            </w:pPr>
          </w:p>
          <w:p w:rsidR="0024673C" w:rsidRDefault="0024673C" w:rsidP="006B433E">
            <w:pPr>
              <w:pStyle w:val="Tabel-BrdtekstmedafstandptekstGaramond"/>
              <w:ind w:left="0"/>
            </w:pPr>
          </w:p>
          <w:p w:rsidR="0024673C" w:rsidRDefault="0024673C" w:rsidP="007A1C8C">
            <w:pPr>
              <w:pStyle w:val="Tabel-BrdtekstmedafstandptekstGaramond"/>
            </w:pPr>
          </w:p>
          <w:p w:rsidR="0024673C" w:rsidRDefault="0024673C" w:rsidP="007A1C8C">
            <w:pPr>
              <w:pStyle w:val="Tabel-BrdtekstmedafstandptekstGaramond"/>
            </w:pPr>
          </w:p>
          <w:p w:rsidR="006B433E" w:rsidRDefault="006B433E" w:rsidP="007A1C8C">
            <w:pPr>
              <w:pStyle w:val="Tabel-BrdtekstmedafstandptekstGaramond"/>
            </w:pPr>
          </w:p>
          <w:p w:rsidR="0024673C" w:rsidRDefault="0024673C" w:rsidP="007A1C8C">
            <w:pPr>
              <w:pStyle w:val="Tabel-BrdtekstmedafstandptekstGaramond"/>
            </w:pPr>
            <w:r>
              <w:t>Dette kan bekræftes.</w:t>
            </w:r>
          </w:p>
          <w:p w:rsidR="00494F29" w:rsidRDefault="00494F29" w:rsidP="007A1C8C">
            <w:pPr>
              <w:pStyle w:val="Tabel-BrdtekstmedafstandptekstGaramond"/>
            </w:pPr>
          </w:p>
          <w:p w:rsidR="00494F29" w:rsidRDefault="00494F29" w:rsidP="007A1C8C">
            <w:pPr>
              <w:pStyle w:val="Tabel-BrdtekstmedafstandptekstGaramond"/>
            </w:pPr>
          </w:p>
          <w:p w:rsidR="00494F29" w:rsidRDefault="00494F29" w:rsidP="007A1C8C">
            <w:pPr>
              <w:pStyle w:val="Tabel-BrdtekstmedafstandptekstGaramond"/>
            </w:pPr>
          </w:p>
          <w:p w:rsidR="00494F29" w:rsidRDefault="00494F29" w:rsidP="007A1C8C">
            <w:pPr>
              <w:pStyle w:val="Tabel-BrdtekstmedafstandptekstGaramond"/>
            </w:pPr>
          </w:p>
          <w:p w:rsidR="00494F29" w:rsidRDefault="00494F29" w:rsidP="007A1C8C">
            <w:pPr>
              <w:pStyle w:val="Tabel-BrdtekstmedafstandptekstGaramond"/>
            </w:pPr>
          </w:p>
          <w:p w:rsidR="00494F29" w:rsidRDefault="00494F29" w:rsidP="007A1C8C">
            <w:pPr>
              <w:pStyle w:val="Tabel-BrdtekstmedafstandptekstGaramond"/>
            </w:pPr>
          </w:p>
          <w:p w:rsidR="00494F29" w:rsidRDefault="00494F29" w:rsidP="007A1C8C">
            <w:pPr>
              <w:pStyle w:val="Tabel-BrdtekstmedafstandptekstGaramond"/>
            </w:pPr>
          </w:p>
          <w:p w:rsidR="00494F29" w:rsidRDefault="00494F29" w:rsidP="007A1C8C">
            <w:pPr>
              <w:pStyle w:val="Tabel-BrdtekstmedafstandptekstGaramond"/>
            </w:pPr>
          </w:p>
          <w:p w:rsidR="0045136B" w:rsidRDefault="0045136B" w:rsidP="00DC0A7E">
            <w:pPr>
              <w:pStyle w:val="Tabel-BrdtekstmedafstandptekstGaramond"/>
            </w:pPr>
          </w:p>
          <w:p w:rsidR="00F363B1" w:rsidRDefault="00494F29" w:rsidP="00DC0A7E">
            <w:pPr>
              <w:pStyle w:val="Tabel-BrdtekstmedafstandptekstGaramond"/>
            </w:pPr>
            <w:r>
              <w:t>Omgåelsesklausulen vedrørende d</w:t>
            </w:r>
            <w:r>
              <w:t>i</w:t>
            </w:r>
            <w:r>
              <w:t>rektiverne skal naturligvis fortolkes i overensstemmelse med d</w:t>
            </w:r>
            <w:r w:rsidR="00000B7A">
              <w:t xml:space="preserve">irektivets ordlyd. </w:t>
            </w:r>
            <w:r w:rsidR="00E4692C">
              <w:t>Dire</w:t>
            </w:r>
            <w:r w:rsidR="00000B7A">
              <w:t xml:space="preserve">ktivet bygger </w:t>
            </w:r>
            <w:r w:rsidR="00E4692C">
              <w:t>i nogen u</w:t>
            </w:r>
            <w:r w:rsidR="00E4692C">
              <w:t>d</w:t>
            </w:r>
            <w:r w:rsidR="00E4692C">
              <w:t xml:space="preserve">strækning </w:t>
            </w:r>
            <w:r w:rsidR="00000B7A">
              <w:t>på</w:t>
            </w:r>
            <w:r>
              <w:t xml:space="preserve"> den praksis, der er skabt af EU-domstolen. </w:t>
            </w:r>
            <w:r w:rsidR="00000B7A">
              <w:t xml:space="preserve">Af samme årsag </w:t>
            </w:r>
            <w:r w:rsidR="00E4692C">
              <w:t>kan</w:t>
            </w:r>
            <w:r w:rsidR="00000B7A">
              <w:t xml:space="preserve"> det være relevant at </w:t>
            </w:r>
            <w:r w:rsidR="006B433E">
              <w:t>inddrage</w:t>
            </w:r>
            <w:r w:rsidR="00000B7A">
              <w:t xml:space="preserve"> EU-domstolens praksis</w:t>
            </w:r>
            <w:r w:rsidR="006B433E">
              <w:t xml:space="preserve"> i fortolkningen</w:t>
            </w:r>
            <w:r w:rsidR="00000B7A">
              <w:t>.</w:t>
            </w:r>
          </w:p>
          <w:p w:rsidR="00F363B1" w:rsidRDefault="00F363B1" w:rsidP="00DC0A7E">
            <w:pPr>
              <w:pStyle w:val="Tabel-BrdtekstmedafstandptekstGaramond"/>
            </w:pPr>
          </w:p>
          <w:p w:rsidR="00F363B1" w:rsidRDefault="00F363B1" w:rsidP="00DC0A7E">
            <w:pPr>
              <w:pStyle w:val="Tabel-BrdtekstmedafstandptekstGaramond"/>
            </w:pPr>
          </w:p>
          <w:p w:rsidR="00F363B1" w:rsidRDefault="00F363B1" w:rsidP="00DC0A7E">
            <w:pPr>
              <w:pStyle w:val="Tabel-BrdtekstmedafstandptekstGaramond"/>
            </w:pPr>
          </w:p>
          <w:p w:rsidR="00F363B1" w:rsidRDefault="00F363B1" w:rsidP="00503D38">
            <w:pPr>
              <w:pStyle w:val="Tabel-BrdtekstmedafstandptekstGaramond"/>
              <w:ind w:left="0"/>
            </w:pPr>
          </w:p>
          <w:p w:rsidR="00F363B1" w:rsidRDefault="00F363B1" w:rsidP="00DC0A7E">
            <w:pPr>
              <w:pStyle w:val="Tabel-BrdtekstmedafstandptekstGaramond"/>
            </w:pPr>
          </w:p>
          <w:p w:rsidR="00F363B1" w:rsidRDefault="00F363B1" w:rsidP="00DC0A7E">
            <w:pPr>
              <w:pStyle w:val="Tabel-BrdtekstmedafstandptekstGaramond"/>
            </w:pPr>
          </w:p>
          <w:p w:rsidR="00BB4D98" w:rsidRDefault="00BB4D98" w:rsidP="00DC0A7E">
            <w:pPr>
              <w:pStyle w:val="Tabel-BrdtekstmedafstandptekstGaramond"/>
            </w:pPr>
          </w:p>
          <w:p w:rsidR="00F363B1" w:rsidRDefault="00F363B1" w:rsidP="00DC0A7E">
            <w:pPr>
              <w:pStyle w:val="Tabel-BrdtekstmedafstandptekstGaramond"/>
            </w:pPr>
          </w:p>
          <w:p w:rsidR="006B433E" w:rsidRDefault="006B433E" w:rsidP="00DC0A7E">
            <w:pPr>
              <w:pStyle w:val="Tabel-BrdtekstmedafstandptekstGaramond"/>
            </w:pPr>
          </w:p>
          <w:p w:rsidR="00A17C2E" w:rsidRDefault="00A17C2E" w:rsidP="00DC0A7E">
            <w:pPr>
              <w:pStyle w:val="Tabel-BrdtekstmedafstandptekstGaramond"/>
            </w:pPr>
            <w:r>
              <w:t xml:space="preserve">De øvrige EU-lande </w:t>
            </w:r>
            <w:r w:rsidR="006B433E">
              <w:t xml:space="preserve">skal </w:t>
            </w:r>
            <w:r w:rsidR="00AC374A">
              <w:t xml:space="preserve">også </w:t>
            </w:r>
            <w:r>
              <w:t>impl</w:t>
            </w:r>
            <w:r>
              <w:t>e</w:t>
            </w:r>
            <w:r>
              <w:t>mente</w:t>
            </w:r>
            <w:r w:rsidR="006B433E">
              <w:t>r</w:t>
            </w:r>
            <w:r w:rsidR="00B8476C">
              <w:t>e</w:t>
            </w:r>
            <w:r>
              <w:t xml:space="preserve"> direktivet. Der er dog nogle lande, som allerede har reglerne på plads, og som derfor ikke foretager sig yderligere end at </w:t>
            </w:r>
            <w:r w:rsidR="00660317">
              <w:t>orientere</w:t>
            </w:r>
            <w:r>
              <w:t xml:space="preserve"> Ko</w:t>
            </w:r>
            <w:r>
              <w:t>m</w:t>
            </w:r>
            <w:r>
              <w:t>missionen herom. Det bemærkes, at medlemslandene kan vælge at gå vid</w:t>
            </w:r>
            <w:r>
              <w:t>e</w:t>
            </w:r>
            <w:r>
              <w:t xml:space="preserve">re end direktivteksten. Eventuelle </w:t>
            </w:r>
            <w:r w:rsidR="00760D45">
              <w:t>fo</w:t>
            </w:r>
            <w:r w:rsidR="00760D45">
              <w:t>r</w:t>
            </w:r>
            <w:r w:rsidR="00760D45">
              <w:t xml:space="preserve">tolkningsspørgsmål vil blive </w:t>
            </w:r>
            <w:r w:rsidR="00660317">
              <w:t>afklaret</w:t>
            </w:r>
            <w:r w:rsidR="00760D45">
              <w:t xml:space="preserve"> af EU-domstolen.</w:t>
            </w:r>
          </w:p>
          <w:p w:rsidR="00760D45" w:rsidRDefault="00760D45" w:rsidP="00DC0A7E">
            <w:pPr>
              <w:pStyle w:val="Tabel-BrdtekstmedafstandptekstGaramond"/>
            </w:pPr>
          </w:p>
          <w:p w:rsidR="00760D45" w:rsidRDefault="00760D45" w:rsidP="00DC0A7E">
            <w:pPr>
              <w:pStyle w:val="Tabel-BrdtekstmedafstandptekstGaramond"/>
            </w:pPr>
          </w:p>
          <w:p w:rsidR="00760D45" w:rsidRDefault="00760D45" w:rsidP="00DC0A7E">
            <w:pPr>
              <w:pStyle w:val="Tabel-BrdtekstmedafstandptekstGaramond"/>
            </w:pPr>
          </w:p>
          <w:p w:rsidR="00760D45" w:rsidRDefault="00760D45" w:rsidP="00DC0A7E">
            <w:pPr>
              <w:pStyle w:val="Tabel-BrdtekstmedafstandptekstGaramond"/>
            </w:pPr>
          </w:p>
          <w:p w:rsidR="00760D45" w:rsidRDefault="00760D45" w:rsidP="00DC0A7E">
            <w:pPr>
              <w:pStyle w:val="Tabel-BrdtekstmedafstandptekstGaramond"/>
            </w:pPr>
          </w:p>
          <w:p w:rsidR="006B433E" w:rsidRDefault="006B433E" w:rsidP="00DC0A7E">
            <w:pPr>
              <w:pStyle w:val="Tabel-BrdtekstmedafstandptekstGaramond"/>
            </w:pPr>
          </w:p>
          <w:p w:rsidR="00760D45" w:rsidRDefault="006B433E" w:rsidP="00DC0A7E">
            <w:pPr>
              <w:pStyle w:val="Tabel-BrdtekstmedafstandptekstGaramond"/>
            </w:pPr>
            <w:r>
              <w:t xml:space="preserve">Der vil kunne indledes en procedure </w:t>
            </w:r>
            <w:r w:rsidR="00503D38">
              <w:t xml:space="preserve">om en gensidig aftale </w:t>
            </w:r>
            <w:r>
              <w:t xml:space="preserve">efter </w:t>
            </w:r>
            <w:r w:rsidR="00503D38">
              <w:t xml:space="preserve">den artikel, </w:t>
            </w:r>
            <w:r w:rsidR="00503D38">
              <w:lastRenderedPageBreak/>
              <w:t xml:space="preserve">der svarer til </w:t>
            </w:r>
            <w:r>
              <w:t xml:space="preserve">artikel 25 i </w:t>
            </w:r>
            <w:r w:rsidR="00503D38">
              <w:t>model</w:t>
            </w:r>
            <w:r>
              <w:t>ove</w:t>
            </w:r>
            <w:r>
              <w:t>r</w:t>
            </w:r>
            <w:r>
              <w:t>enskomste</w:t>
            </w:r>
            <w:r w:rsidR="00503D38">
              <w:t>n</w:t>
            </w:r>
            <w:r>
              <w:t>.</w:t>
            </w:r>
          </w:p>
          <w:p w:rsidR="00760D45" w:rsidRDefault="00760D45" w:rsidP="00DC0A7E">
            <w:pPr>
              <w:pStyle w:val="Tabel-BrdtekstmedafstandptekstGaramond"/>
            </w:pPr>
          </w:p>
          <w:p w:rsidR="00760D45" w:rsidRDefault="00760D45" w:rsidP="00DC0A7E">
            <w:pPr>
              <w:pStyle w:val="Tabel-BrdtekstmedafstandptekstGaramond"/>
            </w:pPr>
          </w:p>
          <w:p w:rsidR="00760D45" w:rsidRDefault="00760D45" w:rsidP="00DC0A7E">
            <w:pPr>
              <w:pStyle w:val="Tabel-BrdtekstmedafstandptekstGaramond"/>
            </w:pPr>
          </w:p>
          <w:p w:rsidR="00760D45" w:rsidRDefault="00760D45" w:rsidP="006B433E">
            <w:pPr>
              <w:pStyle w:val="Tabel-BrdtekstmedafstandptekstGaramond"/>
              <w:ind w:left="0"/>
            </w:pPr>
          </w:p>
          <w:p w:rsidR="00760D45" w:rsidRDefault="00760D45" w:rsidP="00DC0A7E">
            <w:pPr>
              <w:pStyle w:val="Tabel-BrdtekstmedafstandptekstGaramond"/>
            </w:pPr>
          </w:p>
          <w:p w:rsidR="00760D45" w:rsidRDefault="00760D45" w:rsidP="00503D38">
            <w:pPr>
              <w:pStyle w:val="Tabel-BrdtekstmedafstandptekstGaramond"/>
              <w:ind w:left="0"/>
            </w:pPr>
          </w:p>
          <w:p w:rsidR="00760D45" w:rsidRDefault="00760D45" w:rsidP="00DC0A7E">
            <w:pPr>
              <w:pStyle w:val="Tabel-BrdtekstmedafstandptekstGaramond"/>
            </w:pPr>
            <w:r>
              <w:t>Dette kan bekræftes</w:t>
            </w:r>
            <w:r w:rsidR="006B433E">
              <w:t xml:space="preserve"> for så vidt angår transfer </w:t>
            </w:r>
            <w:proofErr w:type="spellStart"/>
            <w:r w:rsidR="006B433E">
              <w:t>pricing</w:t>
            </w:r>
            <w:proofErr w:type="spellEnd"/>
            <w:r w:rsidR="006B433E">
              <w:t xml:space="preserve"> spørgsmål omfattet af konventionen</w:t>
            </w:r>
            <w:r w:rsidR="00FC5EFF">
              <w:t>, medmindre der er tale om handlinger fra en af virksomh</w:t>
            </w:r>
            <w:r w:rsidR="00FC5EFF">
              <w:t>e</w:t>
            </w:r>
            <w:r w:rsidR="00FC5EFF">
              <w:t>derne, der kan udløse alvorlig straf</w:t>
            </w:r>
            <w:r>
              <w:t>.</w:t>
            </w:r>
          </w:p>
          <w:p w:rsidR="00333AA9" w:rsidRDefault="00333AA9" w:rsidP="00503D38">
            <w:pPr>
              <w:pStyle w:val="Tabel-BrdtekstmedafstandptekstGaramond"/>
              <w:ind w:left="0"/>
            </w:pPr>
          </w:p>
          <w:p w:rsidR="00333AA9" w:rsidRDefault="00333AA9" w:rsidP="00DC0A7E">
            <w:pPr>
              <w:pStyle w:val="Tabel-BrdtekstmedafstandptekstGaramond"/>
            </w:pPr>
            <w:r>
              <w:t>Som udgangspunkt vil der være a</w:t>
            </w:r>
            <w:r>
              <w:t>d</w:t>
            </w:r>
            <w:r>
              <w:t>gang til at anmode om bindende svar om dispositioner vedrørende omgåe</w:t>
            </w:r>
            <w:r>
              <w:t>l</w:t>
            </w:r>
            <w:r>
              <w:t>sesklausulerne. En stillingtagen hertil må dog forudsætte en tilstrækkelig mængde oplysninger om alle relevante faktiske forhold og omstændigheder, for at Skatteråd</w:t>
            </w:r>
            <w:r w:rsidR="004B37E1">
              <w:t>et vil være i stand at give et brugbart svar. Alternativt vil man være nødsaget til at lægge en række forudsætninger og forbehold ind i svaret, således at det bindende svar, som spørgeren får, reelt er uden den store værdi. Hertil bemærkes, at Skatterådet vil kunne afvise at b</w:t>
            </w:r>
            <w:r w:rsidR="004B37E1">
              <w:t>e</w:t>
            </w:r>
            <w:r w:rsidR="004B37E1">
              <w:t xml:space="preserve">handle en anmodning om bindende svar, hvis det viser sig, at der alene er tale om at teste reglerne, og </w:t>
            </w:r>
            <w:r w:rsidR="00660317">
              <w:t xml:space="preserve">at der </w:t>
            </w:r>
            <w:r w:rsidR="004B37E1">
              <w:t>s</w:t>
            </w:r>
            <w:r w:rsidR="004B37E1">
              <w:t>å</w:t>
            </w:r>
            <w:r w:rsidR="004B37E1">
              <w:t>ledes ikke er tale om en reel påtænkt disposition.</w:t>
            </w:r>
            <w:r>
              <w:t xml:space="preserve"> </w:t>
            </w:r>
          </w:p>
          <w:p w:rsidR="00333AA9" w:rsidRDefault="00333AA9" w:rsidP="00DC0A7E">
            <w:pPr>
              <w:pStyle w:val="Tabel-BrdtekstmedafstandptekstGaramond"/>
            </w:pPr>
          </w:p>
          <w:p w:rsidR="00E4692C" w:rsidRDefault="00E4692C" w:rsidP="00503D38">
            <w:pPr>
              <w:pStyle w:val="Tabel-BrdtekstmedafstandptekstGaramond"/>
            </w:pPr>
            <w:r>
              <w:t>Der er tale om en dansk vurdering, som fortolkes efter danske regler.</w:t>
            </w:r>
            <w:r w:rsidR="00503D38">
              <w:t xml:space="preserve"> Der vil være adgang til, at der indledes forhandlinger om en gensidig aftale efter dobbeltbeskatningsoverensko</w:t>
            </w:r>
            <w:r w:rsidR="00503D38">
              <w:t>m</w:t>
            </w:r>
            <w:r w:rsidR="00503D38">
              <w:t>sten (artikel 25 i modeloverensko</w:t>
            </w:r>
            <w:r w:rsidR="00503D38">
              <w:t>m</w:t>
            </w:r>
            <w:r w:rsidR="00503D38">
              <w:t>sten).</w:t>
            </w:r>
          </w:p>
          <w:p w:rsidR="00E4692C" w:rsidRDefault="00E4692C" w:rsidP="00503D38">
            <w:pPr>
              <w:pStyle w:val="Tabel-BrdtekstmedafstandptekstGaramond"/>
              <w:ind w:left="0"/>
            </w:pPr>
          </w:p>
          <w:p w:rsidR="00E4692C" w:rsidRDefault="00ED134C" w:rsidP="00ED134C">
            <w:pPr>
              <w:pStyle w:val="Tabel-BrdtekstmedafstandptekstGaramond"/>
            </w:pPr>
            <w:r>
              <w:t xml:space="preserve">De skattepligtige, som er omfattet af </w:t>
            </w:r>
            <w:r>
              <w:lastRenderedPageBreak/>
              <w:t>omgåelsesklausulerne, vil være dem, der har mulighed for at opnå fordele efter direktiverne henholdsvis ove</w:t>
            </w:r>
            <w:r>
              <w:t>r</w:t>
            </w:r>
            <w:r>
              <w:t>enskomsterne. Det vil efter omstæ</w:t>
            </w:r>
            <w:r>
              <w:t>n</w:t>
            </w:r>
            <w:r>
              <w:t>dighederne være fuldt og begrænset skattepligtige, og det vil være juridiske og fysiske personer.</w:t>
            </w:r>
          </w:p>
          <w:p w:rsidR="00ED134C" w:rsidRDefault="00ED134C" w:rsidP="00ED134C">
            <w:pPr>
              <w:pStyle w:val="Tabel-BrdtekstmedafstandptekstGaramond"/>
            </w:pPr>
          </w:p>
          <w:p w:rsidR="00445BEA" w:rsidRDefault="00445BEA" w:rsidP="00ED134C">
            <w:pPr>
              <w:pStyle w:val="Tabel-BrdtekstmedafstandptekstGaramond"/>
            </w:pPr>
            <w:r>
              <w:t>Dette kan bekræftes.</w:t>
            </w:r>
          </w:p>
          <w:p w:rsidR="00445BEA" w:rsidRDefault="00445BEA"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p>
          <w:p w:rsidR="00BE0380" w:rsidRDefault="00BE0380" w:rsidP="00ED134C">
            <w:pPr>
              <w:pStyle w:val="Tabel-BrdtekstmedafstandptekstGaramond"/>
            </w:pPr>
          </w:p>
          <w:p w:rsidR="00445BEA" w:rsidRDefault="00445BEA" w:rsidP="00ED134C">
            <w:pPr>
              <w:pStyle w:val="Tabel-BrdtekstmedafstandptekstGaramond"/>
            </w:pPr>
          </w:p>
          <w:p w:rsidR="00445BEA" w:rsidRDefault="00445BEA" w:rsidP="00ED134C">
            <w:pPr>
              <w:pStyle w:val="Tabel-BrdtekstmedafstandptekstGaramond"/>
            </w:pPr>
            <w:r>
              <w:t>Et arrangement eller serier af arra</w:t>
            </w:r>
            <w:r>
              <w:t>n</w:t>
            </w:r>
            <w:r>
              <w:t>gemen</w:t>
            </w:r>
            <w:r w:rsidR="00503D38">
              <w:t xml:space="preserve">ter skal anses for reelle, i det omfang </w:t>
            </w:r>
            <w:r>
              <w:t>de er tilrettelagt af velbegru</w:t>
            </w:r>
            <w:r>
              <w:t>n</w:t>
            </w:r>
            <w:r>
              <w:t>dede kommercielle årsager, der afspe</w:t>
            </w:r>
            <w:r>
              <w:t>j</w:t>
            </w:r>
            <w:r>
              <w:t>ler den økonomiske virkelighed.</w:t>
            </w:r>
          </w:p>
          <w:p w:rsidR="00445BEA" w:rsidRDefault="00445BEA" w:rsidP="00ED134C">
            <w:pPr>
              <w:pStyle w:val="Tabel-BrdtekstmedafstandptekstGaramond"/>
            </w:pPr>
          </w:p>
          <w:p w:rsidR="00F363B1" w:rsidRDefault="00F363B1" w:rsidP="00F363B1">
            <w:pPr>
              <w:pStyle w:val="Tabel-BrdtekstmedafstandptekstGaramond"/>
            </w:pPr>
            <w:r>
              <w:t>Det kan bekræftes, at der ved denne vurdering kan tages hensyn til alle r</w:t>
            </w:r>
            <w:r>
              <w:t>e</w:t>
            </w:r>
            <w:r>
              <w:t>le</w:t>
            </w:r>
            <w:r w:rsidR="00503D38">
              <w:t>vante forhold og omstændigheder, herunder den samlede</w:t>
            </w:r>
            <w:r>
              <w:t xml:space="preserve"> koncern</w:t>
            </w:r>
            <w:r w:rsidR="00503D38">
              <w:t>s fo</w:t>
            </w:r>
            <w:r w:rsidR="00503D38">
              <w:t>r</w:t>
            </w:r>
            <w:r w:rsidR="00BE0380">
              <w:t>hold</w:t>
            </w:r>
            <w:r>
              <w:t>.</w:t>
            </w:r>
          </w:p>
          <w:p w:rsidR="00F363B1" w:rsidRDefault="00F363B1" w:rsidP="00503D38">
            <w:pPr>
              <w:pStyle w:val="Tabel-BrdtekstmedafstandptekstGaramond"/>
              <w:ind w:left="0"/>
            </w:pPr>
          </w:p>
          <w:p w:rsidR="00265D43" w:rsidRDefault="00F363B1" w:rsidP="007F1208">
            <w:pPr>
              <w:pStyle w:val="Tabel-BrdtekstmedafstandptekstGaramond"/>
            </w:pPr>
            <w:r>
              <w:t xml:space="preserve">Som nævnt ovenfor er </w:t>
            </w:r>
            <w:r w:rsidR="00514CB3">
              <w:t>vendingerne i et vist omfang</w:t>
            </w:r>
            <w:r>
              <w:t xml:space="preserve"> inspireret af EU-domstolens praksis</w:t>
            </w:r>
            <w:r w:rsidR="007F1208">
              <w:t>. Domstolen har fortolket den lignende tankegang i f</w:t>
            </w:r>
            <w:r w:rsidR="007F1208">
              <w:t>u</w:t>
            </w:r>
            <w:r w:rsidR="007F1208">
              <w:t>sionsskattedirektivet. Som et ekse</w:t>
            </w:r>
            <w:r w:rsidR="007F1208">
              <w:t>m</w:t>
            </w:r>
            <w:r w:rsidR="007F1208">
              <w:t>pel herpå kan nævnes C-126/10, hvor det af EU-domstolens præmisser fremgår vedrørende anvendelsen af fusionsskattedirektivet, ”</w:t>
            </w:r>
            <w:r w:rsidR="00DD2AEE">
              <w:t xml:space="preserve"> </w:t>
            </w:r>
            <w:r w:rsidR="007F1208">
              <w:t>at i tilfælde af en fusion mellem to selskaber i</w:t>
            </w:r>
            <w:r w:rsidR="007F1208">
              <w:t>n</w:t>
            </w:r>
            <w:r w:rsidR="007F1208">
              <w:t>den for samme koncern kan den o</w:t>
            </w:r>
            <w:r w:rsidR="007F1208">
              <w:t>m</w:t>
            </w:r>
            <w:r w:rsidR="007F1208">
              <w:t xml:space="preserve">stændighed, at det overtagne selskab </w:t>
            </w:r>
            <w:r w:rsidR="007F1208">
              <w:lastRenderedPageBreak/>
              <w:t>på tidspunktet for fusionen ikke ud</w:t>
            </w:r>
            <w:r w:rsidR="007F1208">
              <w:t>ø</w:t>
            </w:r>
            <w:r w:rsidR="007F1208">
              <w:t>ver nogen virksomhed, ikke råder over nogen finansielle andele og alene overfører store skattemæssige tab, af ubestemt oprindelse, til det overtagne selskab, udgøre en formodning for, at transaktionen ikke er foretaget ud fra ”forsvarlige økonomiske betragtni</w:t>
            </w:r>
            <w:r w:rsidR="007F1208">
              <w:t>n</w:t>
            </w:r>
            <w:r w:rsidR="007F1208">
              <w:t>ger”, i denne bestemmelses forstand, selv om transaktionen har en positiv virkning på koncernens strukturelle omkostninger.”</w:t>
            </w:r>
          </w:p>
          <w:p w:rsidR="00265D43" w:rsidRDefault="00265D43" w:rsidP="007F1208">
            <w:pPr>
              <w:pStyle w:val="Tabel-BrdtekstmedafstandptekstGaramond"/>
            </w:pPr>
          </w:p>
          <w:p w:rsidR="00265D43" w:rsidRDefault="00E70286" w:rsidP="00BB24F3">
            <w:pPr>
              <w:pStyle w:val="Tabel-BrdtekstmedafstandptekstGaramond"/>
            </w:pPr>
            <w:r>
              <w:t>Minimering af skattebetalingen er ikke en velbegrundet kommerciel årsag i bestemmelsens forstand. P</w:t>
            </w:r>
            <w:r w:rsidR="00DD2AEE">
              <w:t>å</w:t>
            </w:r>
            <w:r>
              <w:t xml:space="preserve"> den a</w:t>
            </w:r>
            <w:r>
              <w:t>n</w:t>
            </w:r>
            <w:r>
              <w:t>den side er opfyldelsen af objektive kriterier ikke i sig selv udtryk for mi</w:t>
            </w:r>
            <w:r>
              <w:t>s</w:t>
            </w:r>
            <w:r>
              <w:t>brug af reglerne. Umiddelbart er e</w:t>
            </w:r>
            <w:r>
              <w:t>r</w:t>
            </w:r>
            <w:r>
              <w:t>hvervelse af yderligere aktier i et se</w:t>
            </w:r>
            <w:r>
              <w:t>l</w:t>
            </w:r>
            <w:r>
              <w:t>skab med henblik på at opfylde kravet om 10 pct. ejerskab i reglerne om da</w:t>
            </w:r>
            <w:r>
              <w:t>t</w:t>
            </w:r>
            <w:r>
              <w:t xml:space="preserve">terselskabsudbytter ikke udtryk for misbrug, men det kan være det, hvis der fx alene er tale om en midlertidig ”pro </w:t>
            </w:r>
            <w:proofErr w:type="spellStart"/>
            <w:r>
              <w:t>forma</w:t>
            </w:r>
            <w:proofErr w:type="spellEnd"/>
            <w:r>
              <w:t xml:space="preserve">” </w:t>
            </w:r>
            <w:r w:rsidR="00BB24F3">
              <w:t>erhvervelse uden velb</w:t>
            </w:r>
            <w:r w:rsidR="00BB24F3">
              <w:t>e</w:t>
            </w:r>
            <w:r w:rsidR="00BB24F3">
              <w:t>grundede kommercielle årsager.</w:t>
            </w:r>
          </w:p>
          <w:p w:rsidR="00265D43" w:rsidRDefault="00265D43" w:rsidP="007F1208">
            <w:pPr>
              <w:pStyle w:val="Tabel-BrdtekstmedafstandptekstGaramond"/>
            </w:pPr>
          </w:p>
          <w:p w:rsidR="000A3C7B" w:rsidRDefault="000A3C7B" w:rsidP="002C1C8E">
            <w:pPr>
              <w:pStyle w:val="Tabel-BrdtekstmedafstandptekstGaramond"/>
            </w:pPr>
            <w:r>
              <w:t>Begge vendinger er taget fra bemær</w:t>
            </w:r>
            <w:r>
              <w:t>k</w:t>
            </w:r>
            <w:r>
              <w:t xml:space="preserve">ningerne til OECD´s </w:t>
            </w:r>
            <w:proofErr w:type="spellStart"/>
            <w:r>
              <w:t>Preventing</w:t>
            </w:r>
            <w:proofErr w:type="spellEnd"/>
            <w:r>
              <w:t xml:space="preserve"> the Granting of </w:t>
            </w:r>
            <w:proofErr w:type="spellStart"/>
            <w:r>
              <w:t>Treaty</w:t>
            </w:r>
            <w:proofErr w:type="spellEnd"/>
            <w:r>
              <w:t xml:space="preserve"> </w:t>
            </w:r>
            <w:proofErr w:type="spellStart"/>
            <w:r>
              <w:t>Benefits</w:t>
            </w:r>
            <w:proofErr w:type="spellEnd"/>
            <w:r>
              <w:t xml:space="preserve"> in </w:t>
            </w:r>
            <w:proofErr w:type="spellStart"/>
            <w:r>
              <w:t>Inap</w:t>
            </w:r>
            <w:r>
              <w:t>p</w:t>
            </w:r>
            <w:r>
              <w:t>ropriate</w:t>
            </w:r>
            <w:proofErr w:type="spellEnd"/>
            <w:r>
              <w:t xml:space="preserve"> </w:t>
            </w:r>
            <w:proofErr w:type="spellStart"/>
            <w:r>
              <w:t>Circumstances</w:t>
            </w:r>
            <w:proofErr w:type="spellEnd"/>
            <w:r>
              <w:t xml:space="preserve">, der fastlægger rækkevidden af omgåelsesklausulen. Af bemærkningerne til lovforslaget fremgår det, at vendingen </w:t>
            </w:r>
            <w:r w:rsidR="00BE0380">
              <w:t>”</w:t>
            </w:r>
            <w:r>
              <w:t>ethvert a</w:t>
            </w:r>
            <w:r>
              <w:t>r</w:t>
            </w:r>
            <w:r>
              <w:t>rangement eller enhver transaktion</w:t>
            </w:r>
            <w:r w:rsidR="00BE0380">
              <w:t>”</w:t>
            </w:r>
            <w:r>
              <w:t xml:space="preserve"> skal fortolkes bredt og omfatter e</w:t>
            </w:r>
            <w:r>
              <w:t>n</w:t>
            </w:r>
            <w:r>
              <w:t>hver aftale, fælles forståelse, ordning, transaktion eller serie af transaktioner</w:t>
            </w:r>
            <w:r w:rsidR="00BE0380">
              <w:t>,</w:t>
            </w:r>
            <w:r>
              <w:t xml:space="preserve"> uanset om de er retsgyldige eller ej. </w:t>
            </w:r>
            <w:r w:rsidR="002C1C8E">
              <w:t>Skatteministeriet er vedrørende ve</w:t>
            </w:r>
            <w:r w:rsidR="002C1C8E">
              <w:t>n</w:t>
            </w:r>
            <w:r w:rsidR="002C1C8E">
              <w:t>dingen ”u</w:t>
            </w:r>
            <w:r>
              <w:t>anset om de er retsgyldige eller ej</w:t>
            </w:r>
            <w:r w:rsidR="002C1C8E">
              <w:t>” opmærksom på, at dette ikke er oversat korrekt, hvilket er præcis</w:t>
            </w:r>
            <w:r w:rsidR="002C1C8E">
              <w:t>e</w:t>
            </w:r>
            <w:r w:rsidR="002C1C8E">
              <w:lastRenderedPageBreak/>
              <w:t>ret i forslagets bemærkninger, og æ</w:t>
            </w:r>
            <w:r w:rsidR="002C1C8E">
              <w:t>n</w:t>
            </w:r>
            <w:r w:rsidR="002C1C8E">
              <w:t>dret til ”uanset om man kan støtte ret på det eller ej”.</w:t>
            </w:r>
          </w:p>
          <w:p w:rsidR="002C1C8E" w:rsidRDefault="002C1C8E" w:rsidP="002C1C8E">
            <w:pPr>
              <w:pStyle w:val="Tabel-BrdtekstmedafstandptekstGaramond"/>
            </w:pPr>
          </w:p>
          <w:p w:rsidR="002C1C8E" w:rsidRDefault="002C1C8E" w:rsidP="002C1C8E">
            <w:pPr>
              <w:pStyle w:val="Tabel-BrdtekstmedafstandptekstGaramond"/>
            </w:pPr>
            <w:r>
              <w:t>Dette kan bekræftes.</w:t>
            </w:r>
          </w:p>
          <w:p w:rsidR="002C1C8E" w:rsidRDefault="002C1C8E" w:rsidP="002C1C8E">
            <w:pPr>
              <w:pStyle w:val="Tabel-BrdtekstmedafstandptekstGaramond"/>
            </w:pPr>
          </w:p>
          <w:p w:rsidR="002C1C8E" w:rsidRDefault="002C1C8E" w:rsidP="002C1C8E">
            <w:pPr>
              <w:pStyle w:val="Tabel-BrdtekstmedafstandptekstGaramond"/>
            </w:pPr>
          </w:p>
          <w:p w:rsidR="002C1C8E" w:rsidRDefault="002C1C8E" w:rsidP="002C1C8E">
            <w:pPr>
              <w:pStyle w:val="Tabel-BrdtekstmedafstandptekstGaramond"/>
            </w:pPr>
          </w:p>
          <w:p w:rsidR="002C1C8E" w:rsidRDefault="002C1C8E" w:rsidP="002C1C8E">
            <w:pPr>
              <w:pStyle w:val="Tabel-BrdtekstmedafstandptekstGaramond"/>
            </w:pPr>
          </w:p>
          <w:p w:rsidR="002C1C8E" w:rsidRDefault="002C1C8E" w:rsidP="002C1C8E">
            <w:pPr>
              <w:pStyle w:val="Tabel-BrdtekstmedafstandptekstGaramond"/>
            </w:pPr>
          </w:p>
          <w:p w:rsidR="002C1C8E" w:rsidRDefault="002C1C8E" w:rsidP="002C1C8E">
            <w:pPr>
              <w:pStyle w:val="Tabel-BrdtekstmedafstandptekstGaramond"/>
            </w:pPr>
          </w:p>
          <w:p w:rsidR="002C1C8E" w:rsidRDefault="002C1C8E" w:rsidP="002C1C8E">
            <w:pPr>
              <w:pStyle w:val="Tabel-BrdtekstmedafstandptekstGaramond"/>
            </w:pPr>
          </w:p>
          <w:p w:rsidR="002C1C8E" w:rsidRDefault="002C1C8E" w:rsidP="002C1C8E">
            <w:pPr>
              <w:pStyle w:val="Tabel-BrdtekstmedafstandptekstGaramond"/>
            </w:pPr>
          </w:p>
          <w:p w:rsidR="00F57A95" w:rsidRDefault="00BE0380" w:rsidP="003E09F5">
            <w:pPr>
              <w:pStyle w:val="Tabel-BrdtekstmedafstandptekstGaramond"/>
            </w:pPr>
            <w:r>
              <w:t>Skatteministeriet bemærker til ekse</w:t>
            </w:r>
            <w:r>
              <w:t>m</w:t>
            </w:r>
            <w:r>
              <w:t>plerne, at det ikke er muligt at svare med fornøden sikkerhed, hvorvidt omgåelsesklausulerne finder anve</w:t>
            </w:r>
            <w:r>
              <w:t>n</w:t>
            </w:r>
            <w:r>
              <w:t xml:space="preserve">delse. </w:t>
            </w:r>
            <w:r w:rsidR="003E09F5">
              <w:t>En vurdering af, hvorvidt o</w:t>
            </w:r>
            <w:r w:rsidR="003E09F5">
              <w:t>m</w:t>
            </w:r>
            <w:r w:rsidR="003E09F5">
              <w:t>gåelsesklausulerne finder anvendelse, forudsætter</w:t>
            </w:r>
            <w:r>
              <w:t>,</w:t>
            </w:r>
            <w:r w:rsidR="003E09F5">
              <w:t xml:space="preserve"> at alle relevante faktiske forhold og omstændigheder er oplyst. En konkret stillingtagen til ekse</w:t>
            </w:r>
            <w:r w:rsidR="003E09F5">
              <w:t>m</w:t>
            </w:r>
            <w:r w:rsidR="003E09F5">
              <w:t xml:space="preserve">plerne vil således </w:t>
            </w:r>
            <w:r>
              <w:t>kræve</w:t>
            </w:r>
            <w:r w:rsidR="003E09F5">
              <w:t xml:space="preserve">, at der skal lægges en række forudsætninger og betingelser til grund ved vurderingen. </w:t>
            </w:r>
          </w:p>
          <w:p w:rsidR="004A339D" w:rsidRDefault="004A339D" w:rsidP="000A1518">
            <w:pPr>
              <w:pStyle w:val="Tabel-BrdtekstmedafstandptekstGaramond"/>
            </w:pPr>
          </w:p>
          <w:p w:rsidR="00BE0380" w:rsidRDefault="00BE0380" w:rsidP="000A1518">
            <w:pPr>
              <w:pStyle w:val="Tabel-BrdtekstmedafstandptekstGaramond"/>
            </w:pPr>
          </w:p>
          <w:p w:rsidR="000A1518" w:rsidRPr="000A1518" w:rsidRDefault="000A1518" w:rsidP="000A1518">
            <w:pPr>
              <w:pStyle w:val="Tabel-BrdtekstmedafstandptekstGaramond"/>
            </w:pPr>
            <w:r w:rsidRPr="000A1518">
              <w:t>Der henvises til kommentaren til A</w:t>
            </w:r>
            <w:r w:rsidRPr="000A1518">
              <w:t>d</w:t>
            </w:r>
            <w:r w:rsidRPr="000A1518">
              <w:t>vokatrådet, kommentaren til Dansk Erhverv og kommentaren til DI</w:t>
            </w: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BE0380" w:rsidRDefault="00BE0380" w:rsidP="000A1518">
            <w:pPr>
              <w:pStyle w:val="Tabel-BrdtekstmedafstandptekstGaramond"/>
            </w:pPr>
          </w:p>
          <w:p w:rsidR="000A1518" w:rsidRPr="000A1518" w:rsidRDefault="000A1518" w:rsidP="000A1518">
            <w:pPr>
              <w:pStyle w:val="Tabel-BrdtekstmedafstandptekstGaramond"/>
            </w:pPr>
            <w:r w:rsidRPr="000A1518">
              <w:t>Det er i det almindelige bemærkni</w:t>
            </w:r>
            <w:r w:rsidRPr="000A1518">
              <w:t>n</w:t>
            </w:r>
            <w:r w:rsidRPr="000A1518">
              <w:t>ger, afsnit 3.2. anført, at ”De proce</w:t>
            </w:r>
            <w:r w:rsidRPr="000A1518">
              <w:t>s</w:t>
            </w:r>
            <w:r w:rsidRPr="000A1518">
              <w:t>suelle regler, herunder ligningsfrist, bevisbyrdefordeling og adgang til domstolsprøvelse, vil være uændr</w:t>
            </w:r>
            <w:r w:rsidRPr="000A1518">
              <w:t>e</w:t>
            </w:r>
            <w:r w:rsidRPr="000A1518">
              <w:t>de”.  Der henvises endvidere til kommentaren til Advokatrådet.</w:t>
            </w:r>
          </w:p>
          <w:p w:rsidR="000A1518" w:rsidRDefault="000A1518" w:rsidP="003E09F5">
            <w:pPr>
              <w:pStyle w:val="Tabel-BrdtekstmedafstandptekstGaramond"/>
            </w:pPr>
          </w:p>
          <w:p w:rsidR="00BE0380" w:rsidRDefault="00BE0380" w:rsidP="003E09F5">
            <w:pPr>
              <w:pStyle w:val="Tabel-BrdtekstmedafstandptekstGaramond"/>
            </w:pPr>
          </w:p>
          <w:p w:rsidR="00F57A95" w:rsidRDefault="00F57A95" w:rsidP="003E09F5">
            <w:pPr>
              <w:pStyle w:val="Tabel-BrdtekstmedafstandptekstGaramond"/>
            </w:pPr>
          </w:p>
          <w:p w:rsidR="00F57A95" w:rsidRDefault="00F57A95"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Pr="000A1518" w:rsidRDefault="000A1518" w:rsidP="000A1518">
            <w:pPr>
              <w:pStyle w:val="Tabel-BrdtekstmedafstandptekstGaramond"/>
            </w:pPr>
            <w:r w:rsidRPr="000A1518">
              <w:t>En meddelelse fra SKAT om, at et afgivet bindende svar om et aktivs værdi er bortfaldet efter den foreslå</w:t>
            </w:r>
            <w:r w:rsidRPr="000A1518">
              <w:t>e</w:t>
            </w:r>
            <w:r w:rsidRPr="000A1518">
              <w:t>de regel, udgør en afgørelse. Hvis spørger ikke er enig i SKATs afgøre</w:t>
            </w:r>
            <w:r w:rsidRPr="000A1518">
              <w:t>l</w:t>
            </w:r>
            <w:r w:rsidRPr="000A1518">
              <w:t>se, kan denne påklages til Landsska</w:t>
            </w:r>
            <w:r w:rsidRPr="000A1518">
              <w:t>t</w:t>
            </w:r>
            <w:r w:rsidRPr="000A1518">
              <w:t>teretten. Der vil i forbindelse med en sådan klagebehandling være mulighed for syn og skøn. Det er opfattelsen, at det vil være uhensigtsmæssigt at in</w:t>
            </w:r>
            <w:r w:rsidRPr="000A1518">
              <w:t>d</w:t>
            </w:r>
            <w:r w:rsidRPr="000A1518">
              <w:t>føre mulighed for syn og skøn på et tidspunkt, hvor der alene måtte være tale om udveksling af synspunkter mellem spørger og SKAT.</w:t>
            </w:r>
          </w:p>
          <w:p w:rsidR="000A1518" w:rsidRDefault="000A1518" w:rsidP="003E09F5">
            <w:pPr>
              <w:pStyle w:val="Tabel-BrdtekstmedafstandptekstGaramond"/>
            </w:pPr>
          </w:p>
          <w:p w:rsidR="002E3537" w:rsidRPr="002E3537" w:rsidRDefault="002E3537" w:rsidP="002E3537">
            <w:pPr>
              <w:pStyle w:val="Tabel-BrdtekstmedafstandptekstGaramond"/>
            </w:pPr>
            <w:r w:rsidRPr="002E3537">
              <w:t>Den foreslåede regel indeholder ind</w:t>
            </w:r>
            <w:r w:rsidRPr="002E3537">
              <w:t>i</w:t>
            </w:r>
            <w:r w:rsidRPr="002E3537">
              <w:t>rekte en tidsbegrænsning i form af de gældende ligningsfrister. Forudsæ</w:t>
            </w:r>
            <w:r w:rsidRPr="002E3537">
              <w:t>t</w:t>
            </w:r>
            <w:r w:rsidRPr="002E3537">
              <w:t>ningen for, at et bortfald af et bi</w:t>
            </w:r>
            <w:r w:rsidRPr="002E3537">
              <w:t>n</w:t>
            </w:r>
            <w:r w:rsidRPr="002E3537">
              <w:t>dende svar om et aktivs værdi har en betydning, er, at der er disponeret på grundlag af det bindende svar. De</w:t>
            </w:r>
            <w:r w:rsidRPr="002E3537">
              <w:t>r</w:t>
            </w:r>
            <w:r w:rsidRPr="002E3537">
              <w:t>næst har det kun betydning, hvis bor</w:t>
            </w:r>
            <w:r w:rsidRPr="002E3537">
              <w:t>t</w:t>
            </w:r>
            <w:r w:rsidRPr="002E3537">
              <w:t>faldet kan give anledning til en æ</w:t>
            </w:r>
            <w:r w:rsidRPr="002E3537">
              <w:t>n</w:t>
            </w:r>
            <w:r w:rsidRPr="002E3537">
              <w:t>dring af den skatteansættelse, hvori den pågældende disposition indgår, og dette kræver, at ændringen kan ske inden for de gældende ligningsfrister. Henset til baggrunden for den for</w:t>
            </w:r>
            <w:r w:rsidRPr="002E3537">
              <w:t>e</w:t>
            </w:r>
            <w:r w:rsidRPr="002E3537">
              <w:t>slåede regel ses der ikke være grun</w:t>
            </w:r>
            <w:r w:rsidRPr="002E3537">
              <w:t>d</w:t>
            </w:r>
            <w:r w:rsidRPr="002E3537">
              <w:t xml:space="preserve">lag for at have en kortere tidsgrænse end de gældende ligningsfrister. </w:t>
            </w:r>
          </w:p>
          <w:p w:rsidR="000A1518" w:rsidRDefault="000A1518" w:rsidP="003E09F5">
            <w:pPr>
              <w:pStyle w:val="Tabel-BrdtekstmedafstandptekstGaramond"/>
            </w:pPr>
          </w:p>
          <w:p w:rsidR="002E3537" w:rsidRPr="002E3537" w:rsidRDefault="002E3537" w:rsidP="002E3537">
            <w:pPr>
              <w:pStyle w:val="Tabel-BrdtekstmedafstandptekstGaramond"/>
            </w:pPr>
            <w:r w:rsidRPr="002E3537">
              <w:t>Der henvises til kommentaren til DI</w:t>
            </w:r>
            <w:r>
              <w:t>.</w:t>
            </w: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0A1518" w:rsidRDefault="000A1518" w:rsidP="003E09F5">
            <w:pPr>
              <w:pStyle w:val="Tabel-BrdtekstmedafstandptekstGaramond"/>
            </w:pPr>
          </w:p>
          <w:p w:rsidR="002E3537" w:rsidRPr="002E3537" w:rsidRDefault="002E3537" w:rsidP="002E3537">
            <w:pPr>
              <w:pStyle w:val="Tabel-BrdtekstmedafstandptekstGaramond"/>
            </w:pPr>
            <w:r w:rsidRPr="002E3537">
              <w:t>Den foreslåede regel omhandler bi</w:t>
            </w:r>
            <w:r w:rsidRPr="002E3537">
              <w:t>n</w:t>
            </w:r>
            <w:r w:rsidRPr="002E3537">
              <w:t>dende svar om værdien af ét aktiv. Med andre ord en aktiv for aktiv væ</w:t>
            </w:r>
            <w:r w:rsidRPr="002E3537">
              <w:t>r</w:t>
            </w:r>
            <w:r w:rsidRPr="002E3537">
              <w:t>diansættelse, hvor vurderingen går på størrelsen af afkastet af det pågælde</w:t>
            </w:r>
            <w:r w:rsidRPr="002E3537">
              <w:t>n</w:t>
            </w:r>
            <w:r w:rsidRPr="002E3537">
              <w:t xml:space="preserve">de aktiv. Der er således tale om en vurdering på bruttoniveau. </w:t>
            </w:r>
          </w:p>
          <w:p w:rsidR="000A1518" w:rsidRDefault="000A1518" w:rsidP="003E09F5">
            <w:pPr>
              <w:pStyle w:val="Tabel-BrdtekstmedafstandptekstGaramond"/>
            </w:pPr>
          </w:p>
          <w:p w:rsidR="002E3537" w:rsidRPr="002E3537" w:rsidRDefault="002E3537" w:rsidP="002E3537">
            <w:pPr>
              <w:pStyle w:val="Tabel-BrdtekstmedafstandptekstGaramond"/>
            </w:pPr>
            <w:r w:rsidRPr="002E3537">
              <w:t>Efter den foreslåede regel kan der alene blive tale om en revurdering af værdiansættelsen på baggrund af o</w:t>
            </w:r>
            <w:r w:rsidRPr="002E3537">
              <w:t>p</w:t>
            </w:r>
            <w:r w:rsidRPr="002E3537">
              <w:t>lysninger ud fra et efterfølgende salg eller ud fra størrelsen af det efterfø</w:t>
            </w:r>
            <w:r w:rsidRPr="002E3537">
              <w:t>l</w:t>
            </w:r>
            <w:r w:rsidRPr="002E3537">
              <w:t>gende afkast. Den foreslåede regel kan ikke anvendes, hvor situationen alene er den, at SKAT efterfølgende mener, at der burde have været a</w:t>
            </w:r>
            <w:r w:rsidRPr="002E3537">
              <w:t>n</w:t>
            </w:r>
            <w:r w:rsidRPr="002E3537">
              <w:t>vendt en anden værdiansættelsesm</w:t>
            </w:r>
            <w:r w:rsidRPr="002E3537">
              <w:t>o</w:t>
            </w:r>
            <w:r w:rsidRPr="002E3537">
              <w:t xml:space="preserve">del. </w:t>
            </w:r>
          </w:p>
          <w:p w:rsidR="002E3537" w:rsidRDefault="002E3537" w:rsidP="003E09F5">
            <w:pPr>
              <w:pStyle w:val="Tabel-BrdtekstmedafstandptekstGaramond"/>
            </w:pPr>
          </w:p>
          <w:p w:rsidR="004A339D" w:rsidRPr="004A339D" w:rsidRDefault="004A339D" w:rsidP="004A339D">
            <w:pPr>
              <w:pStyle w:val="Tabel-BrdtekstmedafstandptekstGaramond"/>
            </w:pPr>
            <w:r w:rsidRPr="004A339D">
              <w:t xml:space="preserve">Vurderingen af et tilsvarende aktiv vil </w:t>
            </w:r>
            <w:r w:rsidR="008F0165" w:rsidRPr="004A339D">
              <w:t>som nævnt i bemærkninger</w:t>
            </w:r>
            <w:r w:rsidR="008F0165">
              <w:t>ne</w:t>
            </w:r>
            <w:r w:rsidR="008F0165" w:rsidRPr="004A339D">
              <w:t xml:space="preserve"> </w:t>
            </w:r>
            <w:r w:rsidRPr="004A339D">
              <w:t>kun</w:t>
            </w:r>
            <w:r w:rsidR="008F0165">
              <w:t>ne</w:t>
            </w:r>
            <w:r w:rsidRPr="004A339D">
              <w:t xml:space="preserve"> være relevant, hvor det bindende svar omhandler værdiansættelse af et aktiv, hvor der foreligger et delvist ejerskab. Også i andre situationer, hvor det dr</w:t>
            </w:r>
            <w:r w:rsidRPr="004A339D">
              <w:t>e</w:t>
            </w:r>
            <w:r w:rsidRPr="004A339D">
              <w:t>jer sig om salg af et aktiv, der i alle henseender kan siges at være tilsv</w:t>
            </w:r>
            <w:r w:rsidRPr="004A339D">
              <w:t>a</w:t>
            </w:r>
            <w:r w:rsidRPr="004A339D">
              <w:t>rende det aktiv, som det bindende svar omhandler, vil en vurdering ku</w:t>
            </w:r>
            <w:r w:rsidRPr="004A339D">
              <w:t>n</w:t>
            </w:r>
            <w:r w:rsidRPr="004A339D">
              <w:t>ne være relevant. Den foreslåede regel vil også kunne finde anvendelse, hvor der er tale om en indirekte overdr</w:t>
            </w:r>
            <w:r w:rsidRPr="004A339D">
              <w:t>a</w:t>
            </w:r>
            <w:r w:rsidRPr="004A339D">
              <w:t>gelse af selve aktivet eller et tilsvare</w:t>
            </w:r>
            <w:r w:rsidRPr="004A339D">
              <w:t>n</w:t>
            </w:r>
            <w:r w:rsidRPr="004A339D">
              <w:t xml:space="preserve">de aktiv. </w:t>
            </w:r>
          </w:p>
          <w:p w:rsidR="004A339D" w:rsidRDefault="004A339D" w:rsidP="003E09F5">
            <w:pPr>
              <w:pStyle w:val="Tabel-BrdtekstmedafstandptekstGaramond"/>
            </w:pPr>
          </w:p>
          <w:p w:rsidR="004A339D" w:rsidRPr="004A339D" w:rsidRDefault="004A339D" w:rsidP="004A339D">
            <w:pPr>
              <w:pStyle w:val="Tabel-BrdtekstmedafstandptekstGaramond"/>
            </w:pPr>
            <w:r w:rsidRPr="004A339D">
              <w:t>Den foreslåede regel er alene en regel</w:t>
            </w:r>
            <w:r w:rsidR="004A6061">
              <w:t>,</w:t>
            </w:r>
            <w:r w:rsidRPr="004A339D">
              <w:t xml:space="preserve"> som SKAT kan påberåbe sig. For </w:t>
            </w:r>
            <w:r w:rsidRPr="004A339D">
              <w:lastRenderedPageBreak/>
              <w:t>spørger er det de gældende regler, der finder anvendelse. Det vil sige, at hvor der er disponeret på grundlag af et bindende svar om værdiansættelse af et aktiv, således at det har påvirket en skatteansættelse, og det efterfø</w:t>
            </w:r>
            <w:r w:rsidRPr="004A339D">
              <w:t>l</w:t>
            </w:r>
            <w:r w:rsidRPr="004A339D">
              <w:t>gende konstateres, at værdien i det bindende svar er for høj, vil den ska</w:t>
            </w:r>
            <w:r w:rsidRPr="004A339D">
              <w:t>t</w:t>
            </w:r>
            <w:r w:rsidRPr="004A339D">
              <w:t>tepligtige kunne anmode om en ge</w:t>
            </w:r>
            <w:r w:rsidRPr="004A339D">
              <w:t>n</w:t>
            </w:r>
            <w:r w:rsidRPr="004A339D">
              <w:t>optagelse af skatteansættelsen under iagttagelse af reglerne i skatteforval</w:t>
            </w:r>
            <w:r w:rsidRPr="004A339D">
              <w:t>t</w:t>
            </w:r>
            <w:r w:rsidRPr="004A339D">
              <w:t>ningslovens §§ 26 og 27.  Hvis den skattepligtige har anvendt det binde</w:t>
            </w:r>
            <w:r w:rsidRPr="004A339D">
              <w:t>n</w:t>
            </w:r>
            <w:r w:rsidRPr="004A339D">
              <w:t>de svar i en kontrolleret transaktion omfattet af ligningslovens § 2, vil det tillige være reglerne i ligningslovens § 2 inklusiv stk. 6, der finder anvende</w:t>
            </w:r>
            <w:r w:rsidRPr="004A339D">
              <w:t>l</w:t>
            </w:r>
            <w:r w:rsidRPr="004A339D">
              <w:t xml:space="preserve">se. </w:t>
            </w:r>
          </w:p>
          <w:p w:rsidR="000A1518" w:rsidRDefault="000A1518" w:rsidP="003E09F5">
            <w:pPr>
              <w:pStyle w:val="Tabel-BrdtekstmedafstandptekstGaramond"/>
            </w:pPr>
          </w:p>
          <w:p w:rsidR="000A1518" w:rsidRDefault="000A1518" w:rsidP="003E09F5">
            <w:pPr>
              <w:pStyle w:val="Tabel-BrdtekstmedafstandptekstGaramond"/>
            </w:pPr>
          </w:p>
          <w:p w:rsidR="00F57A95" w:rsidRDefault="004A339D" w:rsidP="003E09F5">
            <w:pPr>
              <w:pStyle w:val="Tabel-BrdtekstmedafstandptekstGaramond"/>
            </w:pPr>
            <w:r>
              <w:t>L</w:t>
            </w:r>
            <w:r w:rsidR="00F57A95">
              <w:t>ovforslaget er justeret således, at det ikke er et krav, at det fremgår af lo</w:t>
            </w:r>
            <w:r w:rsidR="00F57A95">
              <w:t>v</w:t>
            </w:r>
            <w:r w:rsidR="00F57A95">
              <w:t>givningen, at formuen er endeligt og uigenkaldeligt udskilt fra stifteren. I stedet er det et krav, at det er en ufr</w:t>
            </w:r>
            <w:r w:rsidR="00F57A95">
              <w:t>a</w:t>
            </w:r>
            <w:r w:rsidR="00F57A95">
              <w:t>vigelig gyldighedsbetingelse for fo</w:t>
            </w:r>
            <w:r w:rsidR="00F57A95">
              <w:t>n</w:t>
            </w:r>
            <w:r w:rsidR="00F57A95">
              <w:t>den, at formuen er endeligt og uige</w:t>
            </w:r>
            <w:r w:rsidR="00F57A95">
              <w:t>n</w:t>
            </w:r>
            <w:r w:rsidR="00F57A95">
              <w:t xml:space="preserve">kaldeligt udskilt. Betingelsen kan fremgå af lovgivning, retspraksis eller administrativ praksis. Det centrale er, at der ikke er aftalefrihed. </w:t>
            </w:r>
          </w:p>
          <w:p w:rsidR="00F57A95" w:rsidRDefault="00F57A95" w:rsidP="003E09F5">
            <w:pPr>
              <w:pStyle w:val="Tabel-BrdtekstmedafstandptekstGaramond"/>
            </w:pPr>
          </w:p>
          <w:p w:rsidR="00F57A95" w:rsidRDefault="00F57A95" w:rsidP="00F57A95">
            <w:pPr>
              <w:pStyle w:val="Tabel-BrdtekstmedafstandptekstGaramond"/>
            </w:pPr>
            <w:r>
              <w:t>Lovforslaget er justeret på dette punkt</w:t>
            </w:r>
            <w:r w:rsidR="004A6061">
              <w:t>,</w:t>
            </w:r>
            <w:r>
              <w:t xml:space="preserve"> således at stiftere af trusts vil kunne fritages, hvis det</w:t>
            </w:r>
            <w:r w:rsidR="00B36231">
              <w:t xml:space="preserve"> måtte</w:t>
            </w:r>
            <w:r>
              <w:t xml:space="preserve"> være en ufravigelig gyldighedsbetingelse for trusten.</w:t>
            </w:r>
          </w:p>
          <w:p w:rsidR="009540E3" w:rsidRDefault="009540E3" w:rsidP="00F57A95">
            <w:pPr>
              <w:pStyle w:val="Tabel-BrdtekstmedafstandptekstGaramond"/>
            </w:pPr>
          </w:p>
          <w:p w:rsidR="009540E3" w:rsidRDefault="009540E3" w:rsidP="00F57A95">
            <w:pPr>
              <w:pStyle w:val="Tabel-BrdtekstmedafstandptekstGaramond"/>
            </w:pPr>
            <w:r>
              <w:t xml:space="preserve">Det bemærkes, at tilflytningsreglen alene gælder </w:t>
            </w:r>
            <w:r w:rsidR="004A6061">
              <w:t>ved tilbageflytning til Danmark</w:t>
            </w:r>
            <w:r>
              <w:t xml:space="preserve"> dvs. for personer, der tidl</w:t>
            </w:r>
            <w:r>
              <w:t>i</w:t>
            </w:r>
            <w:r>
              <w:t xml:space="preserve">gere har været fuldt skattepligtige i Danmark. Denne tilbageflytningsregel vurderes til at være nødvendig for at </w:t>
            </w:r>
            <w:r>
              <w:lastRenderedPageBreak/>
              <w:t>hindre, at personer midlertidigt b</w:t>
            </w:r>
            <w:r>
              <w:t>o</w:t>
            </w:r>
            <w:r>
              <w:t>sætter sig i udlandet, stifter trusten og flytter tilbage til Danmark.</w:t>
            </w:r>
          </w:p>
          <w:p w:rsidR="009540E3" w:rsidRDefault="009540E3" w:rsidP="00F57A95">
            <w:pPr>
              <w:pStyle w:val="Tabel-BrdtekstmedafstandptekstGaramond"/>
            </w:pPr>
          </w:p>
          <w:p w:rsidR="009540E3" w:rsidRDefault="00F83850" w:rsidP="00F57A95">
            <w:pPr>
              <w:pStyle w:val="Tabel-BrdtekstmedafstandptekstGaramond"/>
            </w:pPr>
            <w:r>
              <w:t>Det er en nødvendig forudsætning for at anerkende danske fonde, at der er sket endeligt og uigenkaldeligt afkald på formuen. Hvis dette ikke er tilfæ</w:t>
            </w:r>
            <w:r>
              <w:t>l</w:t>
            </w:r>
            <w:r>
              <w:t>det, anerkendes fonden ikke.</w:t>
            </w:r>
          </w:p>
          <w:p w:rsidR="00023746" w:rsidRDefault="00023746" w:rsidP="00F57A95">
            <w:pPr>
              <w:pStyle w:val="Tabel-BrdtekstmedafstandptekstGaramond"/>
            </w:pPr>
          </w:p>
          <w:p w:rsidR="00023746" w:rsidRDefault="00023746" w:rsidP="00F57A95">
            <w:pPr>
              <w:pStyle w:val="Tabel-BrdtekstmedafstandptekstGaramond"/>
            </w:pPr>
            <w:r>
              <w:t>Med lovforslaget kræves det, at der er garanti for, at det samme er tilfældet for så vidt angår udenlandske trusts og fonde. Er det ikke muligt at få en sådan garanti, vil stifteren skulle b</w:t>
            </w:r>
            <w:r>
              <w:t>e</w:t>
            </w:r>
            <w:r>
              <w:t>skattes</w:t>
            </w:r>
            <w:r w:rsidR="004A6061">
              <w:t>,</w:t>
            </w:r>
            <w:r>
              <w:t xml:space="preserve"> som om der fortsat er rådi</w:t>
            </w:r>
            <w:r>
              <w:t>g</w:t>
            </w:r>
            <w:r>
              <w:t>hed over formuen.</w:t>
            </w:r>
          </w:p>
          <w:p w:rsidR="00F83850" w:rsidRDefault="00F83850" w:rsidP="00F57A95">
            <w:pPr>
              <w:pStyle w:val="Tabel-BrdtekstmedafstandptekstGaramond"/>
            </w:pPr>
          </w:p>
          <w:p w:rsidR="00023746" w:rsidRDefault="00023746" w:rsidP="00F57A95">
            <w:pPr>
              <w:pStyle w:val="Tabel-BrdtekstmedafstandptekstGaramond"/>
            </w:pPr>
            <w:r>
              <w:t>Lovforslaget vurderes at være i ove</w:t>
            </w:r>
            <w:r>
              <w:t>r</w:t>
            </w:r>
            <w:r>
              <w:t>ensstemmelsen med EU-retten</w:t>
            </w:r>
            <w:r w:rsidR="004A6061">
              <w:t>.</w:t>
            </w:r>
            <w:r>
              <w:t xml:space="preserve"> </w:t>
            </w:r>
            <w:r w:rsidR="004A6061">
              <w:t>D</w:t>
            </w:r>
            <w:r>
              <w:t>er henvises til kommentaren til</w:t>
            </w:r>
            <w:r w:rsidR="004A6061">
              <w:t xml:space="preserve"> profe</w:t>
            </w:r>
            <w:r w:rsidR="004A6061">
              <w:t>s</w:t>
            </w:r>
            <w:r w:rsidR="004A6061">
              <w:t>sor</w:t>
            </w:r>
            <w:r>
              <w:t xml:space="preserve"> Rasmus Feldthusen.</w:t>
            </w:r>
          </w:p>
          <w:p w:rsidR="00023746" w:rsidRDefault="00023746" w:rsidP="00F57A95">
            <w:pPr>
              <w:pStyle w:val="Tabel-BrdtekstmedafstandptekstGaramond"/>
            </w:pPr>
          </w:p>
          <w:p w:rsidR="00023746" w:rsidRDefault="00023746" w:rsidP="00F57A95">
            <w:pPr>
              <w:pStyle w:val="Tabel-BrdtekstmedafstandptekstGaramond"/>
            </w:pPr>
          </w:p>
          <w:p w:rsidR="00023746" w:rsidRDefault="00023746" w:rsidP="00F57A95">
            <w:pPr>
              <w:pStyle w:val="Tabel-BrdtekstmedafstandptekstGaramond"/>
            </w:pPr>
            <w:r>
              <w:t>Ordlyden i den citerede sætning er ændret, så det klart fremgår, at en fuldt skattepligtig person, der indsk</w:t>
            </w:r>
            <w:r>
              <w:t>y</w:t>
            </w:r>
            <w:r>
              <w:t>der aktiver i en trust</w:t>
            </w:r>
            <w:r w:rsidR="004A6061">
              <w:t>,</w:t>
            </w:r>
            <w:r>
              <w:t xml:space="preserve"> omfattes af b</w:t>
            </w:r>
            <w:r>
              <w:t>e</w:t>
            </w:r>
            <w:r>
              <w:t>stemmelsen – uanset om stifteren af trusten er omfattet af bestemmelsen eller ej.</w:t>
            </w:r>
          </w:p>
          <w:p w:rsidR="00F83850" w:rsidRDefault="00F83850" w:rsidP="00F57A95">
            <w:pPr>
              <w:pStyle w:val="Tabel-BrdtekstmedafstandptekstGaramond"/>
            </w:pPr>
          </w:p>
          <w:p w:rsidR="0039082E" w:rsidRDefault="0039082E" w:rsidP="00F57A95">
            <w:pPr>
              <w:pStyle w:val="Tabel-BrdtekstmedafstandptekstGaramond"/>
            </w:pPr>
          </w:p>
          <w:p w:rsidR="0039082E" w:rsidRDefault="0039082E" w:rsidP="00F57A95">
            <w:pPr>
              <w:pStyle w:val="Tabel-BrdtekstmedafstandptekstGaramond"/>
            </w:pPr>
          </w:p>
          <w:p w:rsidR="0039082E" w:rsidRDefault="0039082E" w:rsidP="00F57A95">
            <w:pPr>
              <w:pStyle w:val="Tabel-BrdtekstmedafstandptekstGaramond"/>
            </w:pPr>
            <w:r>
              <w:t>Tidsgrænsen på 10 år er valgt, da de</w:t>
            </w:r>
            <w:r>
              <w:t>t</w:t>
            </w:r>
            <w:r>
              <w:t>te svarer til tidsgrænsen i ”forsker</w:t>
            </w:r>
            <w:r w:rsidR="00CC2152">
              <w:t>s</w:t>
            </w:r>
            <w:r w:rsidR="00CC2152">
              <w:t>katteordningen</w:t>
            </w:r>
            <w:r>
              <w:t>”, hvor det ligeledes tilstræbes at hindre misbrugssituati</w:t>
            </w:r>
            <w:r>
              <w:t>o</w:t>
            </w:r>
            <w:r>
              <w:t>ner ved midlertidig fraflytning.</w:t>
            </w:r>
          </w:p>
          <w:p w:rsidR="0039082E" w:rsidRDefault="0039082E" w:rsidP="00F57A95">
            <w:pPr>
              <w:pStyle w:val="Tabel-BrdtekstmedafstandptekstGaramond"/>
            </w:pPr>
          </w:p>
          <w:p w:rsidR="00CC2152" w:rsidRDefault="00CC2152" w:rsidP="00F57A95">
            <w:pPr>
              <w:pStyle w:val="Tabel-BrdtekstmedafstandptekstGaramond"/>
            </w:pPr>
          </w:p>
          <w:p w:rsidR="0039082E" w:rsidRDefault="0039082E" w:rsidP="00F57A95">
            <w:pPr>
              <w:pStyle w:val="Tabel-BrdtekstmedafstandptekstGaramond"/>
            </w:pPr>
            <w:r>
              <w:t xml:space="preserve">Den foreslåede bestemmelse finder ikke anvendelse, hvis </w:t>
            </w:r>
            <w:r w:rsidR="00F77C97">
              <w:t>midlerne slet i</w:t>
            </w:r>
            <w:r w:rsidR="00F77C97">
              <w:t>k</w:t>
            </w:r>
            <w:r w:rsidR="00F77C97">
              <w:t xml:space="preserve">ke er udskilt fra stifterens formue. I </w:t>
            </w:r>
            <w:r w:rsidR="00F77C97">
              <w:lastRenderedPageBreak/>
              <w:t>disse tilfælde anerkendes trusten ikke skattemæssigt. Der skal derfor – som hidtil – ske beskatning af trustform</w:t>
            </w:r>
            <w:r w:rsidR="00F77C97">
              <w:t>u</w:t>
            </w:r>
            <w:r w:rsidR="00F77C97">
              <w:t>en som en del af stifteren</w:t>
            </w:r>
            <w:r w:rsidR="004A6061">
              <w:t>s</w:t>
            </w:r>
            <w:r w:rsidR="00F77C97">
              <w:t xml:space="preserve"> egen fo</w:t>
            </w:r>
            <w:r w:rsidR="00F77C97">
              <w:t>r</w:t>
            </w:r>
            <w:r w:rsidR="00F77C97">
              <w:t>mue.</w:t>
            </w:r>
          </w:p>
          <w:p w:rsidR="00F77C97" w:rsidRDefault="00F77C97" w:rsidP="00F57A95">
            <w:pPr>
              <w:pStyle w:val="Tabel-BrdtekstmedafstandptekstGaramond"/>
            </w:pPr>
          </w:p>
          <w:p w:rsidR="00F77C97" w:rsidRDefault="00F77C97" w:rsidP="00F57A95">
            <w:pPr>
              <w:pStyle w:val="Tabel-BrdtekstmedafstandptekstGaramond"/>
            </w:pPr>
          </w:p>
          <w:p w:rsidR="00F77C97" w:rsidRDefault="00F77C97" w:rsidP="00F57A95">
            <w:pPr>
              <w:pStyle w:val="Tabel-BrdtekstmedafstandptekstGaramond"/>
            </w:pPr>
          </w:p>
          <w:p w:rsidR="00F77C97" w:rsidRDefault="00F77C97" w:rsidP="00F57A95">
            <w:pPr>
              <w:pStyle w:val="Tabel-BrdtekstmedafstandptekstGaramond"/>
            </w:pPr>
          </w:p>
          <w:p w:rsidR="00F77C97" w:rsidRDefault="00F77C97" w:rsidP="00F57A95">
            <w:pPr>
              <w:pStyle w:val="Tabel-BrdtekstmedafstandptekstGaramond"/>
            </w:pPr>
          </w:p>
          <w:p w:rsidR="00F77C97" w:rsidRDefault="006B3B29" w:rsidP="00F57A95">
            <w:pPr>
              <w:pStyle w:val="Tabel-BrdtekstmedafstandptekstGaramond"/>
            </w:pPr>
            <w:r>
              <w:t>Bestemmelsen om uddelinger til sti</w:t>
            </w:r>
            <w:r>
              <w:t>f</w:t>
            </w:r>
            <w:r>
              <w:t xml:space="preserve">teren er fjernet, idet </w:t>
            </w:r>
            <w:r w:rsidR="00D923E2">
              <w:t>den er overflødig. S</w:t>
            </w:r>
            <w:r>
              <w:t xml:space="preserve">tifteren </w:t>
            </w:r>
            <w:r w:rsidR="00D923E2">
              <w:t xml:space="preserve">vil </w:t>
            </w:r>
            <w:r>
              <w:t>ikke kunne modtage u</w:t>
            </w:r>
            <w:r>
              <w:t>d</w:t>
            </w:r>
            <w:r>
              <w:t>delinger fra en trust, hvor formuen skulle være endeligt og uigenkaldeligt udskilt.</w:t>
            </w:r>
            <w:r w:rsidR="00F77C97">
              <w:t xml:space="preserve"> </w:t>
            </w:r>
          </w:p>
          <w:p w:rsidR="00FB0E82" w:rsidRDefault="00FB0E82" w:rsidP="00F57A95">
            <w:pPr>
              <w:pStyle w:val="Tabel-BrdtekstmedafstandptekstGaramond"/>
            </w:pPr>
          </w:p>
          <w:p w:rsidR="00FB0E82" w:rsidRDefault="00FB0E82" w:rsidP="00F57A95">
            <w:pPr>
              <w:pStyle w:val="Tabel-BrdtekstmedafstandptekstGaramond"/>
            </w:pPr>
          </w:p>
          <w:p w:rsidR="00FB0E82" w:rsidRDefault="00FB0E82" w:rsidP="00F57A95">
            <w:pPr>
              <w:pStyle w:val="Tabel-BrdtekstmedafstandptekstGaramond"/>
            </w:pPr>
          </w:p>
          <w:p w:rsidR="006B3B29" w:rsidRDefault="006B3B29" w:rsidP="00F57A95">
            <w:pPr>
              <w:pStyle w:val="Tabel-BrdtekstmedafstandptekstGaramond"/>
            </w:pPr>
          </w:p>
          <w:p w:rsidR="006B3B29" w:rsidRDefault="006B3B29" w:rsidP="00F57A95">
            <w:pPr>
              <w:pStyle w:val="Tabel-BrdtekstmedafstandptekstGaramond"/>
            </w:pPr>
          </w:p>
          <w:p w:rsidR="006B3B29" w:rsidRDefault="006B3B29" w:rsidP="00F57A95">
            <w:pPr>
              <w:pStyle w:val="Tabel-BrdtekstmedafstandptekstGaramond"/>
            </w:pPr>
          </w:p>
          <w:p w:rsidR="00FB0E82" w:rsidRDefault="00FB0E82" w:rsidP="00F57A95">
            <w:pPr>
              <w:pStyle w:val="Tabel-BrdtekstmedafstandptekstGaramond"/>
            </w:pPr>
          </w:p>
          <w:p w:rsidR="00DE3F58" w:rsidRDefault="00DE3F58" w:rsidP="00DE3F58">
            <w:pPr>
              <w:pStyle w:val="Tabel-BrdtekstmedafstandptekstGaramond"/>
            </w:pPr>
            <w:r>
              <w:t>Beskatningen af de begunstigede æ</w:t>
            </w:r>
            <w:r>
              <w:t>n</w:t>
            </w:r>
            <w:r>
              <w:t>dres ikke med lovforslaget. Hvis trus</w:t>
            </w:r>
            <w:r>
              <w:t>t</w:t>
            </w:r>
            <w:r>
              <w:t>formuen ikke er udskilt fra stifterens formue, hvorved trusten ikke ane</w:t>
            </w:r>
            <w:r>
              <w:t>r</w:t>
            </w:r>
            <w:r>
              <w:t>kendes skattemæssigt, vil der være tale om en gave direkte fra stifteren. Hvis trustformuen er udskilt fra stifterens formue, vil der være tale om en udd</w:t>
            </w:r>
            <w:r>
              <w:t>e</w:t>
            </w:r>
            <w:r>
              <w:t>ling fra trusten – som vil være skatt</w:t>
            </w:r>
            <w:r>
              <w:t>e</w:t>
            </w:r>
            <w:r>
              <w:t>pligtig efter statsskatte</w:t>
            </w:r>
            <w:r w:rsidR="00E34F9D">
              <w:softHyphen/>
            </w:r>
            <w:r>
              <w:t>lovens § 4.</w:t>
            </w:r>
          </w:p>
          <w:p w:rsidR="00DE3F58" w:rsidRDefault="00DE3F58" w:rsidP="00F57A95">
            <w:pPr>
              <w:pStyle w:val="Tabel-BrdtekstmedafstandptekstGaramond"/>
            </w:pPr>
          </w:p>
          <w:p w:rsidR="00DE3F58" w:rsidRDefault="00D64456" w:rsidP="00F57A95">
            <w:pPr>
              <w:pStyle w:val="Tabel-BrdtekstmedafstandptekstGaramond"/>
            </w:pPr>
            <w:r>
              <w:t>Det er uddybet i lovforslaget.</w:t>
            </w:r>
          </w:p>
          <w:p w:rsidR="00D64456" w:rsidRDefault="00D64456" w:rsidP="00F57A95">
            <w:pPr>
              <w:pStyle w:val="Tabel-BrdtekstmedafstandptekstGaramond"/>
            </w:pPr>
          </w:p>
          <w:p w:rsidR="00D64456" w:rsidRDefault="00D64456" w:rsidP="00F57A95">
            <w:pPr>
              <w:pStyle w:val="Tabel-BrdtekstmedafstandptekstGaramond"/>
            </w:pPr>
          </w:p>
          <w:p w:rsidR="00D64456" w:rsidRDefault="00D64456" w:rsidP="00F57A95">
            <w:pPr>
              <w:pStyle w:val="Tabel-BrdtekstmedafstandptekstGaramond"/>
            </w:pPr>
          </w:p>
          <w:p w:rsidR="00D64456" w:rsidRDefault="00D64456" w:rsidP="00F57A95">
            <w:pPr>
              <w:pStyle w:val="Tabel-BrdtekstmedafstandptekstGaramond"/>
            </w:pPr>
          </w:p>
          <w:p w:rsidR="00D64456" w:rsidRDefault="00D64456" w:rsidP="00F57A95">
            <w:pPr>
              <w:pStyle w:val="Tabel-BrdtekstmedafstandptekstGaramond"/>
            </w:pPr>
            <w:r>
              <w:t>Det er præciseret.</w:t>
            </w: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BE5ADE" w:rsidP="00F57A95">
            <w:pPr>
              <w:pStyle w:val="Tabel-BrdtekstmedafstandptekstGaramond"/>
            </w:pPr>
          </w:p>
          <w:p w:rsidR="00BE5ADE" w:rsidRDefault="00A40AA2" w:rsidP="00F57A95">
            <w:pPr>
              <w:pStyle w:val="Tabel-BrdtekstmedafstandptekstGaramond"/>
            </w:pPr>
            <w:r>
              <w:t>Forslaget vil blive medtaget i forbi</w:t>
            </w:r>
            <w:r>
              <w:t>n</w:t>
            </w:r>
            <w:r>
              <w:t>delse med overvejelserne om en rev</w:t>
            </w:r>
            <w:r>
              <w:t>i</w:t>
            </w:r>
            <w:r>
              <w:t>sion af skattekontrolloven.</w:t>
            </w:r>
          </w:p>
          <w:p w:rsidR="00BE5ADE" w:rsidRDefault="00BE5ADE"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296B9B" w:rsidRDefault="00296B9B" w:rsidP="00F57A95">
            <w:pPr>
              <w:pStyle w:val="Tabel-BrdtekstmedafstandptekstGaramond"/>
            </w:pPr>
          </w:p>
          <w:p w:rsidR="00A86BFC" w:rsidRPr="00A86BFC" w:rsidRDefault="00A86BFC" w:rsidP="00A86BFC">
            <w:pPr>
              <w:pStyle w:val="Tabel-BrdtekstmedafstandptekstGaramond"/>
            </w:pPr>
            <w:r w:rsidRPr="00A86BFC">
              <w:t xml:space="preserve">Det kan bekræftes, at selskaberne for efterfølgende indkomstår </w:t>
            </w:r>
            <w:r>
              <w:t>opdaterer</w:t>
            </w:r>
            <w:r w:rsidRPr="00A86BFC">
              <w:t xml:space="preserve"> de registrerede underskudsoplysni</w:t>
            </w:r>
            <w:r w:rsidRPr="00A86BFC">
              <w:t>n</w:t>
            </w:r>
            <w:r w:rsidRPr="00A86BFC">
              <w:t>ger for indkomstårene 2002 – 2013 med ajourført ultimo restunderskud, herunder tilføje</w:t>
            </w:r>
            <w:r>
              <w:t>r</w:t>
            </w:r>
            <w:r w:rsidRPr="00A86BFC">
              <w:t xml:space="preserve"> underskud opstået i indkomstårene 2014 og frem.</w:t>
            </w:r>
          </w:p>
          <w:p w:rsidR="009A7F61" w:rsidRPr="009A7F61" w:rsidRDefault="009A7F61" w:rsidP="009A7F61">
            <w:pPr>
              <w:pStyle w:val="Tabel-BrdtekstmedafstandptekstGaramond"/>
            </w:pPr>
            <w:r>
              <w:br/>
              <w:t xml:space="preserve">For så vidt angår placeringen af § 35 i selskabsskatteloven, bemærkes det, at denne </w:t>
            </w:r>
            <w:r w:rsidR="002829B1">
              <w:t xml:space="preserve">netop er indsat </w:t>
            </w:r>
            <w:r>
              <w:t>i ”</w:t>
            </w:r>
            <w:r w:rsidRPr="009A7F61">
              <w:t xml:space="preserve">Afsnit VII </w:t>
            </w:r>
          </w:p>
          <w:p w:rsidR="009A7F61" w:rsidRDefault="009A7F61" w:rsidP="009A7F61">
            <w:pPr>
              <w:pStyle w:val="Tabel-BrdtekstmedafstandptekstGaramond"/>
            </w:pPr>
            <w:r w:rsidRPr="009A7F61">
              <w:t>Ikrafttrædelses- og overgangsb</w:t>
            </w:r>
            <w:r w:rsidRPr="009A7F61">
              <w:t>e</w:t>
            </w:r>
            <w:r w:rsidRPr="009A7F61">
              <w:t>stemmelser</w:t>
            </w:r>
            <w:r>
              <w:t>”.</w:t>
            </w:r>
          </w:p>
          <w:p w:rsidR="009A7F61" w:rsidRDefault="009A7F61" w:rsidP="009A7F61">
            <w:pPr>
              <w:pStyle w:val="Tabel-BrdtekstmedafstandptekstGaramond"/>
            </w:pPr>
          </w:p>
          <w:p w:rsidR="00475BB7" w:rsidRDefault="00475BB7" w:rsidP="009A7F61">
            <w:pPr>
              <w:pStyle w:val="Tabel-BrdtekstmedafstandptekstGaramond"/>
            </w:pPr>
          </w:p>
          <w:p w:rsidR="00A86BFC" w:rsidRDefault="00A86BFC" w:rsidP="009A7F61">
            <w:pPr>
              <w:pStyle w:val="Tabel-BrdtekstmedafstandptekstGaramond"/>
            </w:pPr>
          </w:p>
          <w:p w:rsidR="00475BB7" w:rsidRDefault="00F73096" w:rsidP="009A7F61">
            <w:pPr>
              <w:pStyle w:val="Tabel-BrdtekstmedafstandptekstGaramond"/>
            </w:pPr>
            <w:r>
              <w:t>Det kan bekræftes, at tillægget på 5.000 kr. alene knytter sig til en ikke rettidig registrering af underskud for perioden 2002 - 2013. Det kan endv</w:t>
            </w:r>
            <w:r>
              <w:t>i</w:t>
            </w:r>
            <w:r>
              <w:t>dere bekræftes, at en efterfølgende opdatering af de registrerede unde</w:t>
            </w:r>
            <w:r>
              <w:t>r</w:t>
            </w:r>
            <w:r>
              <w:t xml:space="preserve">skudsoplysninger </w:t>
            </w:r>
            <w:r w:rsidR="00BE2F53">
              <w:t>vil være</w:t>
            </w:r>
            <w:r>
              <w:t xml:space="preserve"> en del af selvangivelsen, hvorfor tillægget på 5.000</w:t>
            </w:r>
            <w:r w:rsidR="00BE2F53">
              <w:t xml:space="preserve"> kr., som nævnt i den foreslåede ændring til selskabsskattelovens § 35, stk. 1, </w:t>
            </w:r>
            <w:r w:rsidR="000A7454">
              <w:t>ikke finder anvendelse i disse situationer.</w:t>
            </w:r>
            <w:r>
              <w:t xml:space="preserve"> </w:t>
            </w:r>
            <w:r w:rsidR="00B80DE6">
              <w:t xml:space="preserve">Ministeriet finder </w:t>
            </w:r>
            <w:r w:rsidR="004179FF">
              <w:t xml:space="preserve">derfor </w:t>
            </w:r>
            <w:r w:rsidR="00B80DE6">
              <w:t>ikke behov for en ændring af forslaget på dette punkt.</w:t>
            </w:r>
          </w:p>
          <w:p w:rsidR="009A7F61" w:rsidRDefault="009A7F61" w:rsidP="009A7F61">
            <w:pPr>
              <w:pStyle w:val="Tabel-BrdtekstmedafstandptekstGaramond"/>
            </w:pPr>
          </w:p>
          <w:p w:rsidR="004179FF" w:rsidRDefault="004179FF" w:rsidP="009A7F61">
            <w:pPr>
              <w:pStyle w:val="Tabel-BrdtekstmedafstandptekstGaramond"/>
            </w:pPr>
          </w:p>
          <w:p w:rsidR="004179FF" w:rsidRDefault="004179FF" w:rsidP="009A7F61">
            <w:pPr>
              <w:pStyle w:val="Tabel-BrdtekstmedafstandptekstGaramond"/>
            </w:pPr>
          </w:p>
          <w:p w:rsidR="004179FF" w:rsidRPr="009A7F61" w:rsidRDefault="004179FF" w:rsidP="009A7F61">
            <w:pPr>
              <w:pStyle w:val="Tabel-BrdtekstmedafstandptekstGaramond"/>
            </w:pPr>
          </w:p>
          <w:p w:rsidR="00296B9B" w:rsidRPr="00A40AA2" w:rsidRDefault="009A7F61" w:rsidP="00F57A95">
            <w:pPr>
              <w:pStyle w:val="Tabel-BrdtekstmedafstandptekstGaramond"/>
            </w:pPr>
            <w:r>
              <w:t xml:space="preserve"> </w:t>
            </w:r>
          </w:p>
          <w:p w:rsidR="00BE5ADE" w:rsidRDefault="00BE5ADE" w:rsidP="00F57A95">
            <w:pPr>
              <w:pStyle w:val="Tabel-BrdtekstmedafstandptekstGaramond"/>
            </w:pPr>
          </w:p>
          <w:p w:rsidR="00475BB7" w:rsidRDefault="00475BB7" w:rsidP="00F57A95">
            <w:pPr>
              <w:pStyle w:val="Tabel-BrdtekstmedafstandptekstGaramond"/>
            </w:pPr>
          </w:p>
          <w:p w:rsidR="00475BB7" w:rsidRDefault="00475BB7" w:rsidP="00F57A95">
            <w:pPr>
              <w:pStyle w:val="Tabel-BrdtekstmedafstandptekstGaramond"/>
            </w:pPr>
            <w:r>
              <w:t>Det kan bekræftes, at det alene er administrationsselskabet i en samb</w:t>
            </w:r>
            <w:r>
              <w:t>e</w:t>
            </w:r>
            <w:r>
              <w:t>skatning, som kan blive pålagt et ti</w:t>
            </w:r>
            <w:r>
              <w:t>l</w:t>
            </w:r>
            <w:r>
              <w:t>læg på 5.000 kr. ved manglende rett</w:t>
            </w:r>
            <w:r>
              <w:t>i</w:t>
            </w:r>
            <w:r>
              <w:t>dig registrering af underskud.</w:t>
            </w:r>
          </w:p>
          <w:p w:rsidR="0033033A" w:rsidRDefault="0033033A" w:rsidP="00F57A95">
            <w:pPr>
              <w:pStyle w:val="Tabel-BrdtekstmedafstandptekstGaramond"/>
            </w:pPr>
          </w:p>
          <w:p w:rsidR="002829B1" w:rsidRDefault="00766C0A" w:rsidP="00F57A95">
            <w:pPr>
              <w:pStyle w:val="Tabel-BrdtekstmedafstandptekstGaramond"/>
            </w:pPr>
            <w:r>
              <w:t>Det kan bekræftes.</w:t>
            </w:r>
          </w:p>
          <w:p w:rsidR="00766C0A" w:rsidRDefault="00766C0A" w:rsidP="00F57A95">
            <w:pPr>
              <w:pStyle w:val="Tabel-BrdtekstmedafstandptekstGaramond"/>
            </w:pPr>
          </w:p>
          <w:p w:rsidR="00766C0A" w:rsidRDefault="00766C0A" w:rsidP="00F57A95">
            <w:pPr>
              <w:pStyle w:val="Tabel-BrdtekstmedafstandptekstGaramond"/>
            </w:pPr>
          </w:p>
          <w:p w:rsidR="00766C0A" w:rsidRDefault="00766C0A" w:rsidP="00F57A95">
            <w:pPr>
              <w:pStyle w:val="Tabel-BrdtekstmedafstandptekstGaramond"/>
            </w:pPr>
          </w:p>
          <w:p w:rsidR="00766C0A" w:rsidRDefault="00766C0A" w:rsidP="00F57A95">
            <w:pPr>
              <w:pStyle w:val="Tabel-BrdtekstmedafstandptekstGaramond"/>
            </w:pPr>
          </w:p>
          <w:p w:rsidR="00766C0A" w:rsidRDefault="00766C0A" w:rsidP="00F57A95">
            <w:pPr>
              <w:pStyle w:val="Tabel-BrdtekstmedafstandptekstGaramond"/>
            </w:pPr>
          </w:p>
          <w:p w:rsidR="00766C0A" w:rsidRDefault="00766C0A" w:rsidP="00F57A95">
            <w:pPr>
              <w:pStyle w:val="Tabel-BrdtekstmedafstandptekstGaramond"/>
            </w:pPr>
          </w:p>
          <w:p w:rsidR="002829B1" w:rsidRDefault="00A40AA2" w:rsidP="00F57A95">
            <w:pPr>
              <w:pStyle w:val="Tabel-BrdtekstmedafstandptekstGaramond"/>
            </w:pPr>
            <w:r>
              <w:t>Det</w:t>
            </w:r>
            <w:r w:rsidR="00C1649A">
              <w:t xml:space="preserve"> kan bekræftes, at der i de b</w:t>
            </w:r>
            <w:r w:rsidR="00C1649A">
              <w:t>e</w:t>
            </w:r>
            <w:r w:rsidR="00C1649A">
              <w:t>skrevne situationer ikke vil skulle b</w:t>
            </w:r>
            <w:r w:rsidR="00C1649A">
              <w:t>e</w:t>
            </w:r>
            <w:r w:rsidR="00C1649A">
              <w:t xml:space="preserve">tales et tillæg. </w:t>
            </w:r>
            <w:r w:rsidR="00D07ED4">
              <w:t>Korrektion af fejlagtigt indberettede underskud, således at de bringes i overensstemmelse med de oprindelige skatteansættelser</w:t>
            </w:r>
            <w:r w:rsidR="00D455FC">
              <w:t>,</w:t>
            </w:r>
            <w:r w:rsidR="00D07ED4">
              <w:t xml:space="preserve"> og</w:t>
            </w:r>
            <w:r w:rsidR="000A7454">
              <w:t xml:space="preserve"> en</w:t>
            </w:r>
            <w:r w:rsidR="00D07ED4">
              <w:t xml:space="preserve"> ændring som følge af en efterfølgende ansættelsesændring vil </w:t>
            </w:r>
            <w:r w:rsidR="00D455FC">
              <w:t xml:space="preserve">således </w:t>
            </w:r>
            <w:r w:rsidR="00D07ED4">
              <w:t>ikke f</w:t>
            </w:r>
            <w:r w:rsidR="00D07ED4">
              <w:t>ø</w:t>
            </w:r>
            <w:r w:rsidR="00D07ED4">
              <w:t xml:space="preserve">re til </w:t>
            </w:r>
            <w:r w:rsidR="00634A1A">
              <w:t xml:space="preserve">opkrævning </w:t>
            </w:r>
            <w:r w:rsidR="00D07ED4">
              <w:t>af tillægget.</w:t>
            </w:r>
            <w:r>
              <w:t xml:space="preserve"> </w:t>
            </w:r>
          </w:p>
          <w:p w:rsidR="002829B1" w:rsidRDefault="002829B1" w:rsidP="00F57A95">
            <w:pPr>
              <w:pStyle w:val="Tabel-BrdtekstmedafstandptekstGaramond"/>
            </w:pPr>
          </w:p>
          <w:p w:rsidR="00BE2F53" w:rsidRDefault="00BE2F53" w:rsidP="00D13596">
            <w:pPr>
              <w:pStyle w:val="Tabel-BrdtekstmedafstandptekstGaramond"/>
            </w:pPr>
          </w:p>
          <w:p w:rsidR="00BE2F53" w:rsidRDefault="00BE2F53" w:rsidP="00D13596">
            <w:pPr>
              <w:pStyle w:val="Tabel-BrdtekstmedafstandptekstGaramond"/>
            </w:pPr>
          </w:p>
          <w:p w:rsidR="00BE2F53" w:rsidRDefault="00BE2F53" w:rsidP="00D13596">
            <w:pPr>
              <w:pStyle w:val="Tabel-BrdtekstmedafstandptekstGaramond"/>
            </w:pPr>
          </w:p>
          <w:p w:rsidR="00BE2F53" w:rsidRDefault="00BE2F53" w:rsidP="00D13596">
            <w:pPr>
              <w:pStyle w:val="Tabel-BrdtekstmedafstandptekstGaramond"/>
            </w:pPr>
          </w:p>
          <w:p w:rsidR="00BE2F53" w:rsidRDefault="00BE2F53" w:rsidP="00D13596">
            <w:pPr>
              <w:pStyle w:val="Tabel-BrdtekstmedafstandptekstGaramond"/>
            </w:pPr>
          </w:p>
          <w:p w:rsidR="00BE2F53" w:rsidRDefault="00BE2F53" w:rsidP="00D13596">
            <w:pPr>
              <w:pStyle w:val="Tabel-BrdtekstmedafstandptekstGaramond"/>
            </w:pPr>
          </w:p>
          <w:p w:rsidR="00D13596" w:rsidRPr="00D13596" w:rsidRDefault="00D13596" w:rsidP="00D13596">
            <w:pPr>
              <w:pStyle w:val="Tabel-BrdtekstmedafstandptekstGaramond"/>
            </w:pPr>
            <w:r w:rsidRPr="00D13596">
              <w:t>Det bekræftes, at det er administrat</w:t>
            </w:r>
            <w:r w:rsidRPr="00D13596">
              <w:t>i</w:t>
            </w:r>
            <w:r w:rsidRPr="00D13596">
              <w:t>onsselskabet pr. 1. oktober 2014, der indberetter restunderskud for det ti</w:t>
            </w:r>
            <w:r w:rsidRPr="00D13596">
              <w:t>l</w:t>
            </w:r>
            <w:r w:rsidRPr="00D13596">
              <w:t>føjede selskab for både sambeska</w:t>
            </w:r>
            <w:r w:rsidRPr="00D13596">
              <w:t>t</w:t>
            </w:r>
            <w:r w:rsidRPr="00D13596">
              <w:t>ningsperioden og særbeskatningsper</w:t>
            </w:r>
            <w:r w:rsidRPr="00D13596">
              <w:t>i</w:t>
            </w:r>
            <w:r w:rsidRPr="00D13596">
              <w:t xml:space="preserve">oden. </w:t>
            </w:r>
          </w:p>
          <w:p w:rsidR="002829B1" w:rsidRDefault="002829B1"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0615A3" w:rsidP="00F57A95">
            <w:pPr>
              <w:pStyle w:val="Tabel-BrdtekstmedafstandptekstGaramond"/>
            </w:pPr>
          </w:p>
          <w:p w:rsidR="000615A3" w:rsidRDefault="00C1649A" w:rsidP="00F57A95">
            <w:pPr>
              <w:pStyle w:val="Tabel-BrdtekstmedafstandptekstGaramond"/>
            </w:pPr>
            <w:r>
              <w:t xml:space="preserve">Skatteyderen kan lægge et forslag til underskudsberegning til grund for sin </w:t>
            </w:r>
            <w:r>
              <w:lastRenderedPageBreak/>
              <w:t>selvangivelse</w:t>
            </w:r>
            <w:r w:rsidR="004179FF">
              <w:t>, men har – da der alene er tale om et forslag</w:t>
            </w:r>
            <w:r w:rsidR="00634A1A">
              <w:t>,</w:t>
            </w:r>
            <w:r w:rsidR="004179FF">
              <w:t xml:space="preserve"> og</w:t>
            </w:r>
            <w:r w:rsidR="00634A1A">
              <w:t xml:space="preserve"> da</w:t>
            </w:r>
            <w:r w:rsidR="004179FF">
              <w:t xml:space="preserve"> beregni</w:t>
            </w:r>
            <w:r w:rsidR="004179FF">
              <w:t>n</w:t>
            </w:r>
            <w:r w:rsidR="004179FF">
              <w:t xml:space="preserve">gen baserer sig på skatteyderens egne oplysninger </w:t>
            </w:r>
            <w:r w:rsidR="00D9163A">
              <w:t>ved engangsindberetni</w:t>
            </w:r>
            <w:r w:rsidR="00D9163A">
              <w:t>n</w:t>
            </w:r>
            <w:r w:rsidR="00D9163A">
              <w:t xml:space="preserve">gen </w:t>
            </w:r>
            <w:r w:rsidR="004179FF">
              <w:t xml:space="preserve">– ansvaret for rigtigheden af de anvendte oplysninger </w:t>
            </w:r>
            <w:r w:rsidR="004537D0">
              <w:t>i selvangivelsen</w:t>
            </w:r>
            <w:r w:rsidR="004179FF">
              <w:t xml:space="preserve">. Selskabet vil </w:t>
            </w:r>
            <w:r w:rsidR="00D9163A">
              <w:t xml:space="preserve">i </w:t>
            </w:r>
            <w:proofErr w:type="spellStart"/>
            <w:r w:rsidR="00D9163A">
              <w:t>TastSelv</w:t>
            </w:r>
            <w:proofErr w:type="spellEnd"/>
            <w:r w:rsidR="00D9163A">
              <w:t xml:space="preserve"> n</w:t>
            </w:r>
            <w:r w:rsidR="004179FF">
              <w:t>emt kunne se, hvordan SKAT når frem til forsl</w:t>
            </w:r>
            <w:r w:rsidR="004179FF">
              <w:t>a</w:t>
            </w:r>
            <w:r w:rsidR="004179FF">
              <w:t xml:space="preserve">get til underskudsberegning til brug for sin stillingtagen til forslaget. </w:t>
            </w:r>
            <w:r w:rsidR="00526EB5">
              <w:t>Ska</w:t>
            </w:r>
            <w:r w:rsidR="00526EB5">
              <w:t>t</w:t>
            </w:r>
            <w:r w:rsidR="00526EB5">
              <w:t>teyderens forpligtelse i denne he</w:t>
            </w:r>
            <w:r w:rsidR="00526EB5">
              <w:t>n</w:t>
            </w:r>
            <w:r w:rsidR="00526EB5">
              <w:t>seende nødvendiggør efter minister</w:t>
            </w:r>
            <w:r w:rsidR="00526EB5">
              <w:t>i</w:t>
            </w:r>
            <w:r w:rsidR="00526EB5">
              <w:t>ets opfattelse ingen ændring af lo</w:t>
            </w:r>
            <w:r w:rsidR="00526EB5">
              <w:t>v</w:t>
            </w:r>
            <w:r w:rsidR="00526EB5">
              <w:t xml:space="preserve">givningen. </w:t>
            </w:r>
          </w:p>
          <w:p w:rsidR="00766C0A" w:rsidRDefault="00766C0A" w:rsidP="00F57A95">
            <w:pPr>
              <w:pStyle w:val="Tabel-BrdtekstmedafstandptekstGaramond"/>
            </w:pPr>
          </w:p>
          <w:p w:rsidR="000615A3" w:rsidRPr="000615A3" w:rsidRDefault="001B52CF" w:rsidP="001B52CF">
            <w:pPr>
              <w:pStyle w:val="Tabel-BrdtekstmedafstandptekstGaramond"/>
            </w:pPr>
            <w:r>
              <w:t>Fristreglerne i skatteforvaltningsl</w:t>
            </w:r>
            <w:r>
              <w:t>o</w:t>
            </w:r>
            <w:r>
              <w:t>vens §§ 26 og 27 finder anvendelse på skatteansættelser, og dette begreb a</w:t>
            </w:r>
            <w:r>
              <w:t>n</w:t>
            </w:r>
            <w:r>
              <w:t>vendes såvel om opgørelsen af grun</w:t>
            </w:r>
            <w:r>
              <w:t>d</w:t>
            </w:r>
            <w:r>
              <w:t xml:space="preserve">laget for skatteansættelsen som om selve skatteberegningen. </w:t>
            </w:r>
            <w:r w:rsidR="006651D4">
              <w:t>En skatte</w:t>
            </w:r>
            <w:r w:rsidR="00C24EAB">
              <w:t>a</w:t>
            </w:r>
            <w:r w:rsidR="00C24EAB">
              <w:t>n</w:t>
            </w:r>
            <w:r w:rsidR="00C24EAB">
              <w:t>sættelse vil først foreligge, når skatt</w:t>
            </w:r>
            <w:r w:rsidR="00C24EAB">
              <w:t>e</w:t>
            </w:r>
            <w:r w:rsidR="00C24EAB">
              <w:t>yderen har selvangivet, herunder taget stilling til forslaget til underskudsb</w:t>
            </w:r>
            <w:r w:rsidR="00C24EAB">
              <w:t>e</w:t>
            </w:r>
            <w:r w:rsidR="00C24EAB">
              <w:t>regning.</w:t>
            </w:r>
            <w:r>
              <w:t xml:space="preserve"> Lovforslaget ses derfor ikke at have konsekvenser i forhold til </w:t>
            </w:r>
            <w:r w:rsidR="00E035B4">
              <w:t xml:space="preserve"> skatteforvaltningslovens §§ 26 og 27.</w:t>
            </w:r>
          </w:p>
        </w:tc>
      </w:tr>
      <w:tr w:rsidR="00034B33" w:rsidRPr="00B5346F" w:rsidTr="005004E8">
        <w:tc>
          <w:tcPr>
            <w:tcW w:w="2093" w:type="dxa"/>
            <w:tcBorders>
              <w:top w:val="single" w:sz="4" w:space="0" w:color="D1C5C3" w:themeColor="accent3"/>
              <w:bottom w:val="single" w:sz="4" w:space="0" w:color="D1C5C3" w:themeColor="accent3"/>
            </w:tcBorders>
            <w:shd w:val="clear" w:color="auto" w:fill="FBF9F9"/>
          </w:tcPr>
          <w:p w:rsidR="00034B33" w:rsidRDefault="00034B33" w:rsidP="00F93558">
            <w:pPr>
              <w:pStyle w:val="Tabel-BrdtekstmedafstandptekstGaramond"/>
              <w:rPr>
                <w:i/>
              </w:rPr>
            </w:pPr>
            <w:r>
              <w:rPr>
                <w:i/>
              </w:rPr>
              <w:lastRenderedPageBreak/>
              <w:t>Landbrug og Fødev</w:t>
            </w:r>
            <w:r>
              <w:rPr>
                <w:i/>
              </w:rPr>
              <w:t>a</w:t>
            </w:r>
            <w:r>
              <w:rPr>
                <w:i/>
              </w:rPr>
              <w:t>rer</w:t>
            </w:r>
          </w:p>
        </w:tc>
        <w:tc>
          <w:tcPr>
            <w:tcW w:w="104" w:type="dxa"/>
            <w:shd w:val="clear" w:color="auto" w:fill="FFFFFF" w:themeFill="background1"/>
          </w:tcPr>
          <w:p w:rsidR="00034B33" w:rsidRPr="00B5346F" w:rsidRDefault="00034B33" w:rsidP="001A1477"/>
        </w:tc>
        <w:tc>
          <w:tcPr>
            <w:tcW w:w="3665" w:type="dxa"/>
            <w:tcBorders>
              <w:top w:val="single" w:sz="4" w:space="0" w:color="D1C5C3" w:themeColor="accent3"/>
              <w:bottom w:val="single" w:sz="4" w:space="0" w:color="D1C5C3" w:themeColor="accent3"/>
            </w:tcBorders>
            <w:shd w:val="clear" w:color="auto" w:fill="FBF9F9"/>
          </w:tcPr>
          <w:p w:rsidR="00034B33" w:rsidRDefault="00793471" w:rsidP="00793471">
            <w:pPr>
              <w:pStyle w:val="Tabel-BrdtekstmedafstandptekstGaramond"/>
              <w:rPr>
                <w:u w:val="single"/>
              </w:rPr>
            </w:pPr>
            <w:r w:rsidRPr="00793471">
              <w:rPr>
                <w:u w:val="single"/>
              </w:rPr>
              <w:t>Trusts</w:t>
            </w:r>
          </w:p>
          <w:p w:rsidR="00793471" w:rsidRDefault="00793471" w:rsidP="00793471">
            <w:pPr>
              <w:pStyle w:val="Tabel-BrdtekstmedafstandptekstGaramond"/>
            </w:pPr>
            <w:r w:rsidRPr="00793471">
              <w:t>Der bør indsættes en klarere lovgi</w:t>
            </w:r>
            <w:r w:rsidRPr="00793471">
              <w:t>v</w:t>
            </w:r>
            <w:r w:rsidRPr="00793471">
              <w:t>ningsmæssig definition af, hvad der forstås ved en trust. Dette begreb fi</w:t>
            </w:r>
            <w:r w:rsidRPr="00793471">
              <w:t>n</w:t>
            </w:r>
            <w:r w:rsidRPr="00793471">
              <w:t>des ikke i dansk ret, og det bør derfor beskrives mere klart, hvad der er tale om i lovens ordlyd.</w:t>
            </w:r>
          </w:p>
          <w:p w:rsidR="00087EB8" w:rsidRDefault="00087EB8" w:rsidP="00793471">
            <w:pPr>
              <w:pStyle w:val="Tabel-BrdtekstmedafstandptekstGaramond"/>
            </w:pPr>
          </w:p>
          <w:p w:rsidR="00087EB8" w:rsidRPr="00087EB8" w:rsidRDefault="00087EB8" w:rsidP="00793471">
            <w:pPr>
              <w:pStyle w:val="Tabel-BrdtekstmedafstandptekstGaramond"/>
              <w:rPr>
                <w:u w:val="single"/>
              </w:rPr>
            </w:pPr>
            <w:r w:rsidRPr="00087EB8">
              <w:rPr>
                <w:u w:val="single"/>
              </w:rPr>
              <w:t>Bindende svar</w:t>
            </w:r>
          </w:p>
          <w:p w:rsidR="00087EB8" w:rsidRDefault="00087EB8" w:rsidP="00087EB8">
            <w:pPr>
              <w:pStyle w:val="Tabel-BrdtekstmedafstandptekstGaramond"/>
            </w:pPr>
            <w:r w:rsidRPr="00087EB8">
              <w:t xml:space="preserve">Landbrug </w:t>
            </w:r>
            <w:r w:rsidR="00C05FBA">
              <w:t>&amp;</w:t>
            </w:r>
            <w:r w:rsidRPr="00087EB8">
              <w:t xml:space="preserve"> Fødevarer</w:t>
            </w:r>
            <w:r w:rsidRPr="00087EB8">
              <w:rPr>
                <w:b/>
              </w:rPr>
              <w:t xml:space="preserve"> </w:t>
            </w:r>
            <w:r w:rsidR="00C05FBA">
              <w:t>f</w:t>
            </w:r>
            <w:r w:rsidRPr="00087EB8">
              <w:t>inder, at æ</w:t>
            </w:r>
            <w:r w:rsidRPr="00087EB8">
              <w:t>n</w:t>
            </w:r>
            <w:r w:rsidRPr="00087EB8">
              <w:t xml:space="preserve">dringen strider helt afgørende og principielt mod selve ordningen om bindende svar, idet ordningen netop er oprettet for at give skattemæssig sikkerhed. Så længe et bindende svar </w:t>
            </w:r>
            <w:r w:rsidRPr="00087EB8">
              <w:lastRenderedPageBreak/>
              <w:t>er afgivet på baggrund af de korrekte oplysninger på tidspunktet for det bindende svar, bør efterfølgende fo</w:t>
            </w:r>
            <w:r w:rsidRPr="00087EB8">
              <w:t>r</w:t>
            </w:r>
            <w:r w:rsidRPr="00087EB8">
              <w:t xml:space="preserve">hold, netop fordi de er efterfølgende, ikke kunne medføre, at det bindende svar ikke længere er bindende. </w:t>
            </w:r>
          </w:p>
          <w:p w:rsidR="00087EB8" w:rsidRPr="00087EB8" w:rsidRDefault="00087EB8" w:rsidP="00087EB8">
            <w:pPr>
              <w:pStyle w:val="Tabel-BrdtekstmedafstandptekstGaramond"/>
            </w:pPr>
          </w:p>
          <w:p w:rsidR="00707B07" w:rsidRDefault="00707B07" w:rsidP="00087EB8">
            <w:pPr>
              <w:pStyle w:val="Tabel-BrdtekstmedafstandptekstGaramond"/>
            </w:pPr>
          </w:p>
          <w:p w:rsidR="00087EB8" w:rsidRDefault="00087EB8" w:rsidP="00087EB8">
            <w:pPr>
              <w:pStyle w:val="Tabel-BrdtekstmedafstandptekstGaramond"/>
            </w:pPr>
            <w:r w:rsidRPr="00087EB8">
              <w:t>Det findes misvisende, at det ikke er klart angivet, at ændringen vedrøre</w:t>
            </w:r>
            <w:r w:rsidRPr="00087EB8">
              <w:t>n</w:t>
            </w:r>
            <w:r w:rsidRPr="00087EB8">
              <w:t xml:space="preserve">de bindende svar om et aktivs værdi skal gælde generelt og ikke kun ved overførsler mv. til udlandet. </w:t>
            </w:r>
          </w:p>
          <w:p w:rsidR="00087EB8" w:rsidRDefault="00087EB8" w:rsidP="00087EB8">
            <w:pPr>
              <w:pStyle w:val="Tabel-BrdtekstmedafstandptekstGaramond"/>
            </w:pPr>
          </w:p>
          <w:p w:rsidR="00087EB8" w:rsidRDefault="00087EB8" w:rsidP="00087EB8">
            <w:pPr>
              <w:pStyle w:val="Tabel-BrdtekstmedafstandptekstGaramond"/>
            </w:pPr>
          </w:p>
          <w:p w:rsidR="00087EB8" w:rsidRPr="00087EB8" w:rsidRDefault="00087EB8" w:rsidP="00087EB8">
            <w:pPr>
              <w:pStyle w:val="Tabel-BrdtekstmedafstandptekstGaramond"/>
            </w:pPr>
          </w:p>
          <w:p w:rsidR="00087EB8" w:rsidRDefault="00087EB8" w:rsidP="00087EB8">
            <w:pPr>
              <w:pStyle w:val="Tabel-BrdtekstmedafstandptekstGaramond"/>
            </w:pPr>
            <w:r w:rsidRPr="00087EB8">
              <w:t xml:space="preserve">Landbrug </w:t>
            </w:r>
            <w:r w:rsidR="00C05FBA">
              <w:t>&amp;</w:t>
            </w:r>
            <w:r w:rsidRPr="00087EB8">
              <w:t xml:space="preserve"> Fødevarer mener, at det bør beskrives, hvordan forholdet er ved afgivelse af et bindende svar, hvori der indgår andre spørgsmål end et spørgsmål om aktivets værdi. </w:t>
            </w:r>
          </w:p>
          <w:p w:rsidR="00087EB8" w:rsidRDefault="00087EB8"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C05FBA" w:rsidRPr="00087EB8" w:rsidRDefault="00C05FBA" w:rsidP="00087EB8">
            <w:pPr>
              <w:pStyle w:val="Tabel-BrdtekstmedafstandptekstGaramond"/>
            </w:pPr>
          </w:p>
          <w:p w:rsidR="00087EB8" w:rsidRDefault="00087EB8" w:rsidP="00087EB8">
            <w:pPr>
              <w:pStyle w:val="Tabel-BrdtekstmedafstandptekstGaramond"/>
            </w:pPr>
            <w:r w:rsidRPr="00087EB8">
              <w:t xml:space="preserve">Landbrug </w:t>
            </w:r>
            <w:r w:rsidR="00C05FBA">
              <w:t>&amp;</w:t>
            </w:r>
            <w:r w:rsidRPr="00087EB8">
              <w:t xml:space="preserve"> Fødevarer, finder det problematisk, at der generelt lægges vægt på afkastet af aktivet, uden at dette beskrives nærmere i loven. </w:t>
            </w:r>
          </w:p>
          <w:p w:rsidR="00087EB8" w:rsidRDefault="00087EB8"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C05FBA" w:rsidRPr="00087EB8" w:rsidRDefault="00C05FBA" w:rsidP="00087EB8">
            <w:pPr>
              <w:pStyle w:val="Tabel-BrdtekstmedafstandptekstGaramond"/>
            </w:pPr>
          </w:p>
          <w:p w:rsidR="00E61080" w:rsidRDefault="00E61080" w:rsidP="00087EB8">
            <w:pPr>
              <w:pStyle w:val="Tabel-BrdtekstmedafstandptekstGaramond"/>
            </w:pPr>
          </w:p>
          <w:p w:rsidR="00E61080" w:rsidRDefault="00E61080" w:rsidP="00087EB8">
            <w:pPr>
              <w:pStyle w:val="Tabel-BrdtekstmedafstandptekstGaramond"/>
            </w:pPr>
          </w:p>
          <w:p w:rsidR="00E61080" w:rsidRDefault="00E61080" w:rsidP="00087EB8">
            <w:pPr>
              <w:pStyle w:val="Tabel-BrdtekstmedafstandptekstGaramond"/>
            </w:pPr>
          </w:p>
          <w:p w:rsidR="00087EB8" w:rsidRDefault="00087EB8" w:rsidP="00087EB8">
            <w:pPr>
              <w:pStyle w:val="Tabel-BrdtekstmedafstandptekstGaramond"/>
            </w:pPr>
            <w:r w:rsidRPr="00087EB8">
              <w:t xml:space="preserve">Landbrug </w:t>
            </w:r>
            <w:r w:rsidR="00C05FBA">
              <w:t>&amp;</w:t>
            </w:r>
            <w:r w:rsidRPr="00087EB8">
              <w:t xml:space="preserve"> Fødevarer mener, at lo</w:t>
            </w:r>
            <w:r w:rsidRPr="00087EB8">
              <w:t>v</w:t>
            </w:r>
            <w:r w:rsidRPr="00087EB8">
              <w:t>bemærkningernes beskrivelse af fo</w:t>
            </w:r>
            <w:r w:rsidRPr="00087EB8">
              <w:t>r</w:t>
            </w:r>
            <w:r w:rsidRPr="00087EB8">
              <w:t>holdet til skatteforvaltningslovens § 27 om ekstraordinær genoptagelse er misvisende, idet der ikke kan ske en ansættelsesændring, hvis det bindende svar ikke bortfalder</w:t>
            </w:r>
            <w:r>
              <w:t>.</w:t>
            </w:r>
          </w:p>
          <w:p w:rsidR="00087EB8" w:rsidRDefault="00087EB8" w:rsidP="00087EB8">
            <w:pPr>
              <w:pStyle w:val="Tabel-BrdtekstmedafstandptekstGaramond"/>
            </w:pPr>
          </w:p>
          <w:p w:rsidR="0083711E" w:rsidRDefault="0083711E" w:rsidP="00087EB8">
            <w:pPr>
              <w:pStyle w:val="Tabel-BrdtekstmedafstandptekstGaramond"/>
            </w:pPr>
          </w:p>
          <w:p w:rsidR="0083711E" w:rsidRDefault="0083711E" w:rsidP="00087EB8">
            <w:pPr>
              <w:pStyle w:val="Tabel-BrdtekstmedafstandptekstGaramond"/>
            </w:pPr>
          </w:p>
          <w:p w:rsidR="00C05FBA" w:rsidRPr="00087EB8" w:rsidRDefault="00C05FBA" w:rsidP="00087EB8">
            <w:pPr>
              <w:pStyle w:val="Tabel-BrdtekstmedafstandptekstGaramond"/>
            </w:pPr>
          </w:p>
          <w:p w:rsidR="00087EB8" w:rsidRPr="00087EB8" w:rsidRDefault="00087EB8" w:rsidP="00087EB8">
            <w:pPr>
              <w:pStyle w:val="Tabel-BrdtekstmedafstandptekstGaramond"/>
            </w:pPr>
            <w:r w:rsidRPr="00087EB8">
              <w:t>Endelig spørges til, hvad der menes med ”Medmindre andet er fastsat af skattemyndighederne”.</w:t>
            </w:r>
          </w:p>
          <w:p w:rsidR="00087EB8" w:rsidRPr="00793471" w:rsidRDefault="00087EB8" w:rsidP="00793471">
            <w:pPr>
              <w:pStyle w:val="Tabel-BrdtekstmedafstandptekstGaramond"/>
            </w:pPr>
          </w:p>
        </w:tc>
        <w:tc>
          <w:tcPr>
            <w:tcW w:w="112" w:type="dxa"/>
            <w:shd w:val="clear" w:color="auto" w:fill="FFFFFF" w:themeFill="background1"/>
          </w:tcPr>
          <w:p w:rsidR="00034B33" w:rsidRPr="00B5346F" w:rsidRDefault="00034B33" w:rsidP="001A1477"/>
        </w:tc>
        <w:tc>
          <w:tcPr>
            <w:tcW w:w="3665" w:type="dxa"/>
            <w:tcBorders>
              <w:top w:val="single" w:sz="4" w:space="0" w:color="14143C" w:themeColor="accent1"/>
              <w:bottom w:val="single" w:sz="4" w:space="0" w:color="14143C" w:themeColor="accent1"/>
            </w:tcBorders>
            <w:shd w:val="clear" w:color="auto" w:fill="D2CED8"/>
          </w:tcPr>
          <w:p w:rsidR="00034B33" w:rsidRDefault="00034B33" w:rsidP="001A1477">
            <w:pPr>
              <w:pStyle w:val="Tabel-BrdtekstmedafstandptekstGaramond"/>
            </w:pPr>
          </w:p>
          <w:p w:rsidR="00793471" w:rsidRDefault="00793471" w:rsidP="001A1477">
            <w:pPr>
              <w:pStyle w:val="Tabel-BrdtekstmedafstandptekstGaramond"/>
            </w:pPr>
            <w:r>
              <w:t>Der henvises til kommentaren til A</w:t>
            </w:r>
            <w:r>
              <w:t>d</w:t>
            </w:r>
            <w:r>
              <w:t>vokatrådet.</w:t>
            </w:r>
          </w:p>
          <w:p w:rsidR="00087EB8" w:rsidRDefault="00087EB8" w:rsidP="001A1477">
            <w:pPr>
              <w:pStyle w:val="Tabel-BrdtekstmedafstandptekstGaramond"/>
            </w:pPr>
          </w:p>
          <w:p w:rsidR="00087EB8" w:rsidRDefault="00087EB8" w:rsidP="001A1477">
            <w:pPr>
              <w:pStyle w:val="Tabel-BrdtekstmedafstandptekstGaramond"/>
            </w:pPr>
          </w:p>
          <w:p w:rsidR="00087EB8" w:rsidRDefault="00087EB8" w:rsidP="001A1477">
            <w:pPr>
              <w:pStyle w:val="Tabel-BrdtekstmedafstandptekstGaramond"/>
            </w:pPr>
          </w:p>
          <w:p w:rsidR="00087EB8" w:rsidRDefault="00087EB8" w:rsidP="001A1477">
            <w:pPr>
              <w:pStyle w:val="Tabel-BrdtekstmedafstandptekstGaramond"/>
            </w:pPr>
          </w:p>
          <w:p w:rsidR="00087EB8" w:rsidRDefault="00087EB8" w:rsidP="001A1477">
            <w:pPr>
              <w:pStyle w:val="Tabel-BrdtekstmedafstandptekstGaramond"/>
            </w:pPr>
          </w:p>
          <w:p w:rsidR="00087EB8" w:rsidRDefault="00087EB8" w:rsidP="001A1477">
            <w:pPr>
              <w:pStyle w:val="Tabel-BrdtekstmedafstandptekstGaramond"/>
            </w:pPr>
          </w:p>
          <w:p w:rsidR="00087EB8" w:rsidRPr="00087EB8" w:rsidRDefault="00087EB8" w:rsidP="00087EB8">
            <w:pPr>
              <w:pStyle w:val="Tabel-BrdtekstmedafstandptekstGaramond"/>
            </w:pPr>
            <w:r w:rsidRPr="00087EB8">
              <w:t>Efter forslaget er det et utvetydigt krav, for at der kan blive tale om et bortfald, at de</w:t>
            </w:r>
            <w:r w:rsidR="00DC63A6">
              <w:t>t</w:t>
            </w:r>
            <w:r w:rsidRPr="00087EB8">
              <w:t xml:space="preserve"> ud fra oplysninger, der er fremkommet efter afgivelse af det bindende svar, kan begrundes, at væ</w:t>
            </w:r>
            <w:r w:rsidRPr="00087EB8">
              <w:t>r</w:t>
            </w:r>
            <w:r w:rsidRPr="00087EB8">
              <w:t>di</w:t>
            </w:r>
            <w:r w:rsidR="00B36231">
              <w:t>en</w:t>
            </w:r>
            <w:r w:rsidRPr="00087EB8">
              <w:t xml:space="preserve"> og dermed de oplysninger, som </w:t>
            </w:r>
            <w:r w:rsidRPr="00087EB8">
              <w:lastRenderedPageBreak/>
              <w:t>værdien er baseret på, ikke er den korrekte.</w:t>
            </w:r>
            <w:r w:rsidR="00707B07">
              <w:t xml:space="preserve"> SKAT skal således med baggrund i de senere oplysninger kunne begrunde, at den værdi, der er konstateret efterfølgende, må anses for mere retvisende på tidspunktet for det bindende svar</w:t>
            </w:r>
            <w:r w:rsidRPr="00087EB8">
              <w:t xml:space="preserve">.   </w:t>
            </w:r>
          </w:p>
          <w:p w:rsidR="00087EB8" w:rsidRDefault="00087EB8" w:rsidP="001A1477">
            <w:pPr>
              <w:pStyle w:val="Tabel-BrdtekstmedafstandptekstGaramond"/>
            </w:pPr>
          </w:p>
          <w:p w:rsidR="00087EB8" w:rsidRPr="00087EB8" w:rsidRDefault="00087EB8" w:rsidP="00087EB8">
            <w:pPr>
              <w:pStyle w:val="Tabel-BrdtekstmedafstandptekstGaramond"/>
            </w:pPr>
            <w:r w:rsidRPr="00087EB8">
              <w:t>Det er korrekt, at forslaget gælder g</w:t>
            </w:r>
            <w:r w:rsidRPr="00087EB8">
              <w:t>e</w:t>
            </w:r>
            <w:r w:rsidRPr="00087EB8">
              <w:t>nerelt og dermed omfatter alle bi</w:t>
            </w:r>
            <w:r w:rsidRPr="00087EB8">
              <w:t>n</w:t>
            </w:r>
            <w:r w:rsidRPr="00087EB8">
              <w:t>dende svar om et aktivs værdi. Dette fremgår også af lovudkastet undert</w:t>
            </w:r>
            <w:r w:rsidRPr="00087EB8">
              <w:t>i</w:t>
            </w:r>
            <w:r w:rsidRPr="00087EB8">
              <w:t>tel, hvor denne del af udkastet er o</w:t>
            </w:r>
            <w:r w:rsidRPr="00087EB8">
              <w:t>m</w:t>
            </w:r>
            <w:r w:rsidRPr="00087EB8">
              <w:t>talt som ”værdiansættelse af aktiver i forbindelse med bindende svar”.</w:t>
            </w:r>
          </w:p>
          <w:p w:rsidR="00087EB8" w:rsidRDefault="00087EB8" w:rsidP="001A1477">
            <w:pPr>
              <w:pStyle w:val="Tabel-BrdtekstmedafstandptekstGaramond"/>
            </w:pPr>
          </w:p>
          <w:p w:rsidR="0083711E" w:rsidRPr="0083711E" w:rsidRDefault="0083711E" w:rsidP="0083711E">
            <w:pPr>
              <w:pStyle w:val="Tabel-BrdtekstmedafstandptekstGaramond"/>
            </w:pPr>
            <w:r w:rsidRPr="0083711E">
              <w:t>Hvor et bindende svar indeholder svar på andre spørgsmål end et spørgsmål om et aktivs værdi, vil den foreslåede regel om bortfald alene kunne finde anvendelse på den del a</w:t>
            </w:r>
            <w:r w:rsidR="000A1518">
              <w:t>f</w:t>
            </w:r>
            <w:r w:rsidRPr="0083711E">
              <w:t xml:space="preserve"> det bindende svar, som relaterer sig til aktivets værdi. Ud over selve værdia</w:t>
            </w:r>
            <w:r w:rsidRPr="0083711E">
              <w:t>n</w:t>
            </w:r>
            <w:r w:rsidRPr="0083711E">
              <w:t>sættelsen vil det fx kunne være et svar om avancen på aktivet, hvor værdia</w:t>
            </w:r>
            <w:r w:rsidRPr="0083711E">
              <w:t>n</w:t>
            </w:r>
            <w:r w:rsidRPr="0083711E">
              <w:t>sættelse</w:t>
            </w:r>
            <w:r w:rsidR="000A1518">
              <w:t>n</w:t>
            </w:r>
            <w:r w:rsidRPr="0083711E">
              <w:t xml:space="preserve"> er brugt ved avanceopgøre</w:t>
            </w:r>
            <w:r w:rsidRPr="0083711E">
              <w:t>l</w:t>
            </w:r>
            <w:r w:rsidRPr="0083711E">
              <w:t xml:space="preserve">sen. </w:t>
            </w:r>
          </w:p>
          <w:p w:rsidR="00087EB8" w:rsidRDefault="00087EB8" w:rsidP="001A1477">
            <w:pPr>
              <w:pStyle w:val="Tabel-BrdtekstmedafstandptekstGaramond"/>
            </w:pPr>
          </w:p>
          <w:p w:rsidR="0083711E" w:rsidRPr="0083711E" w:rsidRDefault="0083711E" w:rsidP="0083711E">
            <w:pPr>
              <w:pStyle w:val="Tabel-BrdtekstmedafstandptekstGaramond"/>
            </w:pPr>
            <w:r w:rsidRPr="0083711E">
              <w:t>Et aktivs betydning for virksomh</w:t>
            </w:r>
            <w:r w:rsidRPr="0083711E">
              <w:t>e</w:t>
            </w:r>
            <w:r w:rsidRPr="0083711E">
              <w:t>dens indkomstpotentiale vil afspejle sig i aktivets værdi. Derfor er det rel</w:t>
            </w:r>
            <w:r w:rsidRPr="0083711E">
              <w:t>e</w:t>
            </w:r>
            <w:r w:rsidRPr="0083711E">
              <w:t>vant at medtage størrelsen af det e</w:t>
            </w:r>
            <w:r w:rsidRPr="0083711E">
              <w:t>f</w:t>
            </w:r>
            <w:r w:rsidRPr="0083711E">
              <w:t xml:space="preserve">terfølgende afkast, som kan tilskrives aktivet. </w:t>
            </w:r>
            <w:r w:rsidR="00E61080">
              <w:t>Afkastets form vil afhænge af aktivets art og de dispositioner, der foretages mht. aktivet. I visse tilfælde, hvor aktivet fx anvendes i den løbe</w:t>
            </w:r>
            <w:r w:rsidR="00E61080">
              <w:t>n</w:t>
            </w:r>
            <w:r w:rsidR="00E61080">
              <w:t xml:space="preserve">de virksomhed, vil det være </w:t>
            </w:r>
            <w:r w:rsidRPr="0083711E">
              <w:t>relevant at se på indkomsten i virksomheden og på den baggrund foretage en vu</w:t>
            </w:r>
            <w:r w:rsidRPr="0083711E">
              <w:t>r</w:t>
            </w:r>
            <w:r w:rsidRPr="0083711E">
              <w:t>dering af, hvorvidt denne er større end forventet med baggrund i de o</w:t>
            </w:r>
            <w:r w:rsidRPr="0083711E">
              <w:t>p</w:t>
            </w:r>
            <w:r w:rsidRPr="0083711E">
              <w:t xml:space="preserve">lysninger, som det bindende svar er baseret på.  Det skal bemærkes, at det </w:t>
            </w:r>
            <w:r w:rsidRPr="0083711E">
              <w:lastRenderedPageBreak/>
              <w:t>i givet fald vil være SKAT, der vil skulle tilvejebringe oplysninger om størrelsen af det efterfølgende afkast. Det er vurderingen, at en detailregul</w:t>
            </w:r>
            <w:r w:rsidRPr="0083711E">
              <w:t>e</w:t>
            </w:r>
            <w:r w:rsidRPr="0083711E">
              <w:t>ring i selve loven ikke er hensigt</w:t>
            </w:r>
            <w:r w:rsidRPr="0083711E">
              <w:t>s</w:t>
            </w:r>
            <w:r w:rsidRPr="0083711E">
              <w:t xml:space="preserve">mæssig. </w:t>
            </w:r>
          </w:p>
          <w:p w:rsidR="0083711E" w:rsidRDefault="0083711E" w:rsidP="001A1477">
            <w:pPr>
              <w:pStyle w:val="Tabel-BrdtekstmedafstandptekstGaramond"/>
            </w:pPr>
          </w:p>
          <w:p w:rsidR="0083711E" w:rsidRDefault="0083711E" w:rsidP="0083711E">
            <w:pPr>
              <w:pStyle w:val="Tabel-BrdtekstmedafstandptekstGaramond"/>
            </w:pPr>
            <w:r w:rsidRPr="0083711E">
              <w:t>Det pågældende afsnit i lovbemær</w:t>
            </w:r>
            <w:r w:rsidRPr="0083711E">
              <w:t>k</w:t>
            </w:r>
            <w:r w:rsidRPr="0083711E">
              <w:t>ningerne er medtaget for udtrykkeligt at gøre opmærksom på, at den for</w:t>
            </w:r>
            <w:r w:rsidRPr="0083711E">
              <w:t>e</w:t>
            </w:r>
            <w:r w:rsidRPr="0083711E">
              <w:t xml:space="preserve">slåede regel, hvorefter </w:t>
            </w:r>
            <w:r w:rsidR="004A6061">
              <w:t>e</w:t>
            </w:r>
            <w:r w:rsidRPr="0083711E">
              <w:t>t bindende svar om et aktivs værdi i visse tilfælde ikke er bindende, ikke har som ko</w:t>
            </w:r>
            <w:r w:rsidRPr="0083711E">
              <w:t>n</w:t>
            </w:r>
            <w:r w:rsidRPr="0083711E">
              <w:t>sekvens, at skatteforvaltningslovens § 27 dermed aldrig kan finde anvende</w:t>
            </w:r>
            <w:r w:rsidRPr="0083711E">
              <w:t>l</w:t>
            </w:r>
            <w:r w:rsidRPr="0083711E">
              <w:t xml:space="preserve">se i forhold til et bindende svar om et aktivs værdi. </w:t>
            </w:r>
          </w:p>
          <w:p w:rsidR="0083711E" w:rsidRDefault="0083711E" w:rsidP="0083711E">
            <w:pPr>
              <w:pStyle w:val="Tabel-BrdtekstmedafstandptekstGaramond"/>
            </w:pPr>
          </w:p>
          <w:p w:rsidR="0083711E" w:rsidRPr="00B5346F" w:rsidRDefault="0083711E" w:rsidP="00DD2AEE">
            <w:pPr>
              <w:pStyle w:val="Tabel-BrdtekstmedafstandptekstGaramond"/>
            </w:pPr>
            <w:r w:rsidRPr="0083711E">
              <w:t>Uanset den foreslåede regel om eve</w:t>
            </w:r>
            <w:r w:rsidRPr="0083711E">
              <w:t>n</w:t>
            </w:r>
            <w:r w:rsidRPr="0083711E">
              <w:t xml:space="preserve">tuelt bortfald af et bindende svar om et aktivs værdi, vil SKAT fortsat have mulighed for at indsætte de såkaldte </w:t>
            </w:r>
            <w:proofErr w:type="spellStart"/>
            <w:r w:rsidRPr="0083711E">
              <w:t>critical</w:t>
            </w:r>
            <w:proofErr w:type="spellEnd"/>
            <w:r w:rsidRPr="0083711E">
              <w:t xml:space="preserve"> </w:t>
            </w:r>
            <w:proofErr w:type="spellStart"/>
            <w:r w:rsidRPr="0083711E">
              <w:t>assumptions</w:t>
            </w:r>
            <w:proofErr w:type="spellEnd"/>
            <w:r w:rsidRPr="0083711E">
              <w:t xml:space="preserve"> i et bindende svar om et aktivs værdi. Har SKAT indsat </w:t>
            </w:r>
            <w:proofErr w:type="spellStart"/>
            <w:r w:rsidRPr="0083711E">
              <w:t>critical</w:t>
            </w:r>
            <w:proofErr w:type="spellEnd"/>
            <w:r w:rsidRPr="0083711E">
              <w:t xml:space="preserve"> </w:t>
            </w:r>
            <w:proofErr w:type="spellStart"/>
            <w:r w:rsidRPr="0083711E">
              <w:t>assumptions</w:t>
            </w:r>
            <w:proofErr w:type="spellEnd"/>
            <w:r w:rsidRPr="0083711E">
              <w:t>, og viser det sig, at disse forudsætninger ikke holder, kan det bindende svar bortfalde, ua</w:t>
            </w:r>
            <w:r w:rsidRPr="0083711E">
              <w:t>n</w:t>
            </w:r>
            <w:r w:rsidRPr="0083711E">
              <w:t xml:space="preserve">set at betingelserne i den foreslåede regel ikke er opfyldt. </w:t>
            </w:r>
          </w:p>
        </w:tc>
      </w:tr>
      <w:tr w:rsidR="009712F5" w:rsidRPr="00B5346F" w:rsidTr="005004E8">
        <w:tc>
          <w:tcPr>
            <w:tcW w:w="2093" w:type="dxa"/>
            <w:tcBorders>
              <w:top w:val="single" w:sz="4" w:space="0" w:color="D1C5C3" w:themeColor="accent3"/>
              <w:bottom w:val="single" w:sz="4" w:space="0" w:color="D1C5C3" w:themeColor="accent3"/>
            </w:tcBorders>
            <w:shd w:val="clear" w:color="auto" w:fill="FBF9F9"/>
          </w:tcPr>
          <w:p w:rsidR="009712F5" w:rsidRDefault="009712F5" w:rsidP="00F93558">
            <w:pPr>
              <w:pStyle w:val="Tabel-BrdtekstmedafstandptekstGaramond"/>
              <w:rPr>
                <w:i/>
              </w:rPr>
            </w:pPr>
            <w:r>
              <w:rPr>
                <w:i/>
              </w:rPr>
              <w:lastRenderedPageBreak/>
              <w:t>Landsskatteretten</w:t>
            </w:r>
          </w:p>
        </w:tc>
        <w:tc>
          <w:tcPr>
            <w:tcW w:w="104" w:type="dxa"/>
            <w:shd w:val="clear" w:color="auto" w:fill="FFFFFF" w:themeFill="background1"/>
          </w:tcPr>
          <w:p w:rsidR="009712F5" w:rsidRPr="00B5346F" w:rsidRDefault="009712F5" w:rsidP="001A1477"/>
        </w:tc>
        <w:tc>
          <w:tcPr>
            <w:tcW w:w="3665" w:type="dxa"/>
            <w:tcBorders>
              <w:top w:val="single" w:sz="4" w:space="0" w:color="D1C5C3" w:themeColor="accent3"/>
              <w:bottom w:val="single" w:sz="4" w:space="0" w:color="D1C5C3" w:themeColor="accent3"/>
            </w:tcBorders>
            <w:shd w:val="clear" w:color="auto" w:fill="FBF9F9"/>
          </w:tcPr>
          <w:p w:rsidR="00CC4C98" w:rsidRDefault="00CC4C98" w:rsidP="00793471">
            <w:pPr>
              <w:pStyle w:val="Tabel-BrdtekstmedafstandptekstGaramond"/>
              <w:rPr>
                <w:u w:val="single"/>
              </w:rPr>
            </w:pPr>
            <w:r>
              <w:rPr>
                <w:u w:val="single"/>
              </w:rPr>
              <w:t>Bindende svar</w:t>
            </w:r>
          </w:p>
          <w:p w:rsidR="00CC4C98" w:rsidRPr="00CC4C98" w:rsidRDefault="00CC4C98" w:rsidP="00CC4C98">
            <w:pPr>
              <w:pStyle w:val="Tabel-BrdtekstmedafstandptekstGaramond"/>
            </w:pPr>
            <w:r w:rsidRPr="00CC4C98">
              <w:t>Der opfordres til, at der i lyset af Ombudsmandens udtalelse i FOB 2012-12 sker en udbygning af i lo</w:t>
            </w:r>
            <w:r w:rsidRPr="00CC4C98">
              <w:t>v</w:t>
            </w:r>
            <w:r w:rsidRPr="00CC4C98">
              <w:t>bemærkningerne, således at det står tydeligere, at et bortfald af det bi</w:t>
            </w:r>
            <w:r w:rsidRPr="00CC4C98">
              <w:t>n</w:t>
            </w:r>
            <w:r w:rsidR="004A6061">
              <w:t>dende svar udgør en afgørelse</w:t>
            </w:r>
            <w:r w:rsidRPr="00CC4C98">
              <w:t xml:space="preserve"> i fo</w:t>
            </w:r>
            <w:r w:rsidRPr="00CC4C98">
              <w:t>r</w:t>
            </w:r>
            <w:r w:rsidRPr="00CC4C98">
              <w:t xml:space="preserve">valtningsretlig forstand. </w:t>
            </w:r>
          </w:p>
          <w:p w:rsidR="005471E8" w:rsidRPr="00CC4C98" w:rsidRDefault="005471E8" w:rsidP="00793471">
            <w:pPr>
              <w:pStyle w:val="Tabel-BrdtekstmedafstandptekstGaramond"/>
            </w:pPr>
          </w:p>
          <w:p w:rsidR="009712F5" w:rsidRDefault="005471E8" w:rsidP="00793471">
            <w:pPr>
              <w:pStyle w:val="Tabel-BrdtekstmedafstandptekstGaramond"/>
            </w:pPr>
            <w:r>
              <w:rPr>
                <w:u w:val="single"/>
              </w:rPr>
              <w:t>DIAS</w:t>
            </w:r>
          </w:p>
          <w:p w:rsidR="009712F5" w:rsidRDefault="004A6061" w:rsidP="009712F5">
            <w:pPr>
              <w:pStyle w:val="Tabel-BrdtekstmedafstandptekstGaramond"/>
            </w:pPr>
            <w:r>
              <w:t>Der g</w:t>
            </w:r>
            <w:r w:rsidR="009712F5">
              <w:t>ør</w:t>
            </w:r>
            <w:r>
              <w:t>es</w:t>
            </w:r>
            <w:r w:rsidR="009712F5">
              <w:t xml:space="preserve"> opmærksom på, at behan</w:t>
            </w:r>
            <w:r w:rsidR="009712F5">
              <w:t>d</w:t>
            </w:r>
            <w:r w:rsidR="009712F5">
              <w:t>lingen af klager over manglende frit</w:t>
            </w:r>
            <w:r w:rsidR="009712F5">
              <w:t>a</w:t>
            </w:r>
            <w:r w:rsidR="009712F5">
              <w:t xml:space="preserve">gelse for betaling af tillægget på 5.000 </w:t>
            </w:r>
            <w:r w:rsidR="009712F5">
              <w:lastRenderedPageBreak/>
              <w:t>kr. ved for sen indberetning af rest</w:t>
            </w:r>
            <w:r w:rsidR="009712F5">
              <w:t>e</w:t>
            </w:r>
            <w:r w:rsidR="009712F5">
              <w:t>rende fremførelsesberettigede unde</w:t>
            </w:r>
            <w:r w:rsidR="009712F5">
              <w:t>r</w:t>
            </w:r>
            <w:r w:rsidR="009712F5">
              <w:t xml:space="preserve">skud forventes at blive henlagt til Skatteankestyrelsen.    </w:t>
            </w:r>
          </w:p>
          <w:p w:rsidR="009712F5" w:rsidRDefault="009712F5" w:rsidP="009712F5">
            <w:pPr>
              <w:pStyle w:val="Tabel-BrdtekstmedafstandptekstGaramond"/>
            </w:pPr>
          </w:p>
          <w:p w:rsidR="009712F5" w:rsidRPr="009712F5" w:rsidRDefault="004A6061" w:rsidP="004A6061">
            <w:pPr>
              <w:pStyle w:val="Tabel-BrdtekstmedafstandptekstGaramond"/>
            </w:pPr>
            <w:r>
              <w:t>Det f</w:t>
            </w:r>
            <w:r w:rsidR="009712F5">
              <w:t>oreslå</w:t>
            </w:r>
            <w:r>
              <w:t>s</w:t>
            </w:r>
            <w:r w:rsidR="009712F5">
              <w:t>, at ordet ”frafalde” (ti</w:t>
            </w:r>
            <w:r w:rsidR="009712F5">
              <w:t>l</w:t>
            </w:r>
            <w:r w:rsidR="009712F5">
              <w:t>lægget) erstattes af ”fritage”</w:t>
            </w:r>
            <w:r w:rsidR="00976719">
              <w:t xml:space="preserve"> (for bet</w:t>
            </w:r>
            <w:r w:rsidR="00976719">
              <w:t>a</w:t>
            </w:r>
            <w:r w:rsidR="00976719">
              <w:t>ling af tillægget).</w:t>
            </w:r>
            <w:r w:rsidR="009712F5">
              <w:t xml:space="preserve"> </w:t>
            </w:r>
          </w:p>
        </w:tc>
        <w:tc>
          <w:tcPr>
            <w:tcW w:w="112" w:type="dxa"/>
            <w:shd w:val="clear" w:color="auto" w:fill="FFFFFF" w:themeFill="background1"/>
          </w:tcPr>
          <w:p w:rsidR="009712F5" w:rsidRPr="00B5346F" w:rsidRDefault="009712F5" w:rsidP="001A1477"/>
        </w:tc>
        <w:tc>
          <w:tcPr>
            <w:tcW w:w="3665" w:type="dxa"/>
            <w:tcBorders>
              <w:top w:val="single" w:sz="4" w:space="0" w:color="14143C" w:themeColor="accent1"/>
              <w:bottom w:val="single" w:sz="4" w:space="0" w:color="14143C" w:themeColor="accent1"/>
            </w:tcBorders>
            <w:shd w:val="clear" w:color="auto" w:fill="D2CED8"/>
          </w:tcPr>
          <w:p w:rsidR="009712F5" w:rsidRDefault="009712F5" w:rsidP="001A1477">
            <w:pPr>
              <w:pStyle w:val="Tabel-BrdtekstmedafstandptekstGaramond"/>
            </w:pPr>
          </w:p>
          <w:p w:rsidR="00CC4C98" w:rsidRPr="00CC4C98" w:rsidRDefault="00CC4C98" w:rsidP="00CC4C98">
            <w:pPr>
              <w:pStyle w:val="Tabel-BrdtekstmedafstandptekstGaramond"/>
            </w:pPr>
            <w:r w:rsidRPr="00CC4C98">
              <w:t>Lov</w:t>
            </w:r>
            <w:r w:rsidR="00C05FBA">
              <w:t>be</w:t>
            </w:r>
            <w:r w:rsidRPr="00CC4C98">
              <w:t xml:space="preserve">mærkningerne er præciseret på dette punkt. </w:t>
            </w:r>
          </w:p>
          <w:p w:rsidR="00CC4C98" w:rsidRDefault="00CC4C98" w:rsidP="001A1477">
            <w:pPr>
              <w:pStyle w:val="Tabel-BrdtekstmedafstandptekstGaramond"/>
            </w:pPr>
          </w:p>
          <w:p w:rsidR="009712F5" w:rsidRDefault="009712F5" w:rsidP="001A1477">
            <w:pPr>
              <w:pStyle w:val="Tabel-BrdtekstmedafstandptekstGaramond"/>
            </w:pPr>
          </w:p>
          <w:p w:rsidR="00CC4C98" w:rsidRDefault="00CC4C98" w:rsidP="009712F5">
            <w:pPr>
              <w:pStyle w:val="Tabel-BrdtekstmedafstandptekstGaramond"/>
            </w:pPr>
          </w:p>
          <w:p w:rsidR="00CC4C98" w:rsidRDefault="00CC4C98" w:rsidP="009712F5">
            <w:pPr>
              <w:pStyle w:val="Tabel-BrdtekstmedafstandptekstGaramond"/>
            </w:pPr>
          </w:p>
          <w:p w:rsidR="00CC4C98" w:rsidRDefault="00CC4C98" w:rsidP="009712F5">
            <w:pPr>
              <w:pStyle w:val="Tabel-BrdtekstmedafstandptekstGaramond"/>
            </w:pPr>
          </w:p>
          <w:p w:rsidR="00CC4C98" w:rsidRDefault="00CC4C98" w:rsidP="009712F5">
            <w:pPr>
              <w:pStyle w:val="Tabel-BrdtekstmedafstandptekstGaramond"/>
            </w:pPr>
          </w:p>
          <w:p w:rsidR="00CC4C98" w:rsidRDefault="00CC4C98" w:rsidP="009712F5">
            <w:pPr>
              <w:pStyle w:val="Tabel-BrdtekstmedafstandptekstGaramond"/>
            </w:pPr>
          </w:p>
          <w:p w:rsidR="009712F5" w:rsidRDefault="009712F5" w:rsidP="009712F5">
            <w:pPr>
              <w:pStyle w:val="Tabel-BrdtekstmedafstandptekstGaramond"/>
            </w:pPr>
            <w:r>
              <w:t>Er taget til efterretning</w:t>
            </w:r>
            <w:r w:rsidR="00976719">
              <w:t xml:space="preserve">. Forholdet er </w:t>
            </w:r>
            <w:r>
              <w:t>omtalt i bemærkninger til lovforslaget.</w:t>
            </w:r>
          </w:p>
          <w:p w:rsidR="00976719" w:rsidRDefault="00976719" w:rsidP="009712F5">
            <w:pPr>
              <w:pStyle w:val="Tabel-BrdtekstmedafstandptekstGaramond"/>
            </w:pPr>
          </w:p>
          <w:p w:rsidR="00976719" w:rsidRDefault="00976719" w:rsidP="009712F5">
            <w:pPr>
              <w:pStyle w:val="Tabel-BrdtekstmedafstandptekstGaramond"/>
            </w:pPr>
          </w:p>
          <w:p w:rsidR="00CC2152" w:rsidRDefault="00CC2152" w:rsidP="009712F5">
            <w:pPr>
              <w:pStyle w:val="Tabel-BrdtekstmedafstandptekstGaramond"/>
            </w:pPr>
          </w:p>
          <w:p w:rsidR="00976719" w:rsidRDefault="00976719" w:rsidP="009712F5">
            <w:pPr>
              <w:pStyle w:val="Tabel-BrdtekstmedafstandptekstGaramond"/>
            </w:pPr>
          </w:p>
          <w:p w:rsidR="00976719" w:rsidRDefault="00976719" w:rsidP="009712F5">
            <w:pPr>
              <w:pStyle w:val="Tabel-BrdtekstmedafstandptekstGaramond"/>
            </w:pPr>
          </w:p>
          <w:p w:rsidR="00976719" w:rsidRDefault="00976719" w:rsidP="009712F5">
            <w:pPr>
              <w:pStyle w:val="Tabel-BrdtekstmedafstandptekstGaramond"/>
            </w:pPr>
          </w:p>
          <w:p w:rsidR="00976719" w:rsidRDefault="00976719" w:rsidP="009712F5">
            <w:pPr>
              <w:pStyle w:val="Tabel-BrdtekstmedafstandptekstGaramond"/>
            </w:pPr>
            <w:r>
              <w:t>Forslaget er fulgt i lovforslaget.</w:t>
            </w:r>
          </w:p>
        </w:tc>
      </w:tr>
      <w:tr w:rsidR="00976719" w:rsidRPr="00B5346F" w:rsidTr="005004E8">
        <w:tc>
          <w:tcPr>
            <w:tcW w:w="2093" w:type="dxa"/>
            <w:tcBorders>
              <w:top w:val="single" w:sz="4" w:space="0" w:color="D1C5C3" w:themeColor="accent3"/>
              <w:bottom w:val="single" w:sz="4" w:space="0" w:color="D1C5C3" w:themeColor="accent3"/>
            </w:tcBorders>
            <w:shd w:val="clear" w:color="auto" w:fill="FBF9F9"/>
          </w:tcPr>
          <w:p w:rsidR="00976719" w:rsidRDefault="00976719" w:rsidP="00F93558">
            <w:pPr>
              <w:pStyle w:val="Tabel-BrdtekstmedafstandptekstGaramond"/>
              <w:rPr>
                <w:i/>
              </w:rPr>
            </w:pPr>
            <w:r>
              <w:rPr>
                <w:i/>
              </w:rPr>
              <w:lastRenderedPageBreak/>
              <w:t>Skatteankestyrelsen</w:t>
            </w:r>
          </w:p>
        </w:tc>
        <w:tc>
          <w:tcPr>
            <w:tcW w:w="104" w:type="dxa"/>
            <w:shd w:val="clear" w:color="auto" w:fill="FFFFFF" w:themeFill="background1"/>
          </w:tcPr>
          <w:p w:rsidR="00976719" w:rsidRPr="00B5346F" w:rsidRDefault="00976719" w:rsidP="001A1477"/>
        </w:tc>
        <w:tc>
          <w:tcPr>
            <w:tcW w:w="3665" w:type="dxa"/>
            <w:tcBorders>
              <w:top w:val="single" w:sz="4" w:space="0" w:color="D1C5C3" w:themeColor="accent3"/>
              <w:bottom w:val="single" w:sz="4" w:space="0" w:color="D1C5C3" w:themeColor="accent3"/>
            </w:tcBorders>
            <w:shd w:val="clear" w:color="auto" w:fill="FBF9F9"/>
          </w:tcPr>
          <w:p w:rsidR="00976719" w:rsidRDefault="00976719" w:rsidP="00793471">
            <w:pPr>
              <w:pStyle w:val="Tabel-BrdtekstmedafstandptekstGaramond"/>
            </w:pPr>
            <w:r w:rsidRPr="00976719">
              <w:t>Se</w:t>
            </w:r>
            <w:r>
              <w:t xml:space="preserve"> høringssvaret fra Landsskattere</w:t>
            </w:r>
            <w:r>
              <w:t>t</w:t>
            </w:r>
            <w:r>
              <w:t xml:space="preserve">ten.   </w:t>
            </w:r>
          </w:p>
          <w:p w:rsidR="00976719" w:rsidRPr="00976719" w:rsidRDefault="00976719" w:rsidP="00793471">
            <w:pPr>
              <w:pStyle w:val="Tabel-BrdtekstmedafstandptekstGaramond"/>
            </w:pPr>
          </w:p>
        </w:tc>
        <w:tc>
          <w:tcPr>
            <w:tcW w:w="112" w:type="dxa"/>
            <w:shd w:val="clear" w:color="auto" w:fill="FFFFFF" w:themeFill="background1"/>
          </w:tcPr>
          <w:p w:rsidR="00976719" w:rsidRPr="00B5346F" w:rsidRDefault="00976719" w:rsidP="001A1477"/>
        </w:tc>
        <w:tc>
          <w:tcPr>
            <w:tcW w:w="3665" w:type="dxa"/>
            <w:tcBorders>
              <w:top w:val="single" w:sz="4" w:space="0" w:color="14143C" w:themeColor="accent1"/>
              <w:bottom w:val="single" w:sz="4" w:space="0" w:color="14143C" w:themeColor="accent1"/>
            </w:tcBorders>
            <w:shd w:val="clear" w:color="auto" w:fill="D2CED8"/>
          </w:tcPr>
          <w:p w:rsidR="00976719" w:rsidRDefault="00976719" w:rsidP="001A1477">
            <w:pPr>
              <w:pStyle w:val="Tabel-BrdtekstmedafstandptekstGaramond"/>
            </w:pPr>
          </w:p>
        </w:tc>
      </w:tr>
      <w:tr w:rsidR="007E1867" w:rsidRPr="00B5346F" w:rsidTr="005004E8">
        <w:tc>
          <w:tcPr>
            <w:tcW w:w="2093" w:type="dxa"/>
            <w:tcBorders>
              <w:top w:val="single" w:sz="4" w:space="0" w:color="D1C5C3" w:themeColor="accent3"/>
              <w:bottom w:val="single" w:sz="4" w:space="0" w:color="D1C5C3" w:themeColor="accent3"/>
            </w:tcBorders>
            <w:shd w:val="clear" w:color="auto" w:fill="FBF9F9"/>
          </w:tcPr>
          <w:p w:rsidR="007E1867" w:rsidRDefault="007E1867" w:rsidP="007E1867">
            <w:pPr>
              <w:pStyle w:val="Tabel-BrdtekstmedafstandptekstGaramond"/>
              <w:rPr>
                <w:i/>
              </w:rPr>
            </w:pPr>
            <w:r>
              <w:rPr>
                <w:i/>
              </w:rPr>
              <w:t>SRF Skattefaglig Forening</w:t>
            </w:r>
          </w:p>
        </w:tc>
        <w:tc>
          <w:tcPr>
            <w:tcW w:w="104" w:type="dxa"/>
            <w:shd w:val="clear" w:color="auto" w:fill="FFFFFF" w:themeFill="background1"/>
          </w:tcPr>
          <w:p w:rsidR="007E1867" w:rsidRPr="00B5346F" w:rsidRDefault="007E1867" w:rsidP="001A1477"/>
        </w:tc>
        <w:tc>
          <w:tcPr>
            <w:tcW w:w="3665" w:type="dxa"/>
            <w:tcBorders>
              <w:top w:val="single" w:sz="4" w:space="0" w:color="D1C5C3" w:themeColor="accent3"/>
              <w:bottom w:val="single" w:sz="4" w:space="0" w:color="D1C5C3" w:themeColor="accent3"/>
            </w:tcBorders>
            <w:shd w:val="clear" w:color="auto" w:fill="FBF9F9"/>
          </w:tcPr>
          <w:p w:rsidR="00BD5105" w:rsidRPr="00BD5105" w:rsidRDefault="00BD5105" w:rsidP="004B745E">
            <w:pPr>
              <w:pStyle w:val="Tabel-BrdtekstmedafstandptekstGaramond"/>
              <w:rPr>
                <w:u w:val="single"/>
              </w:rPr>
            </w:pPr>
            <w:r>
              <w:rPr>
                <w:u w:val="single"/>
              </w:rPr>
              <w:t>Trusts</w:t>
            </w:r>
          </w:p>
          <w:p w:rsidR="004B745E" w:rsidRDefault="004B745E" w:rsidP="004B745E">
            <w:pPr>
              <w:pStyle w:val="Tabel-BrdtekstmedafstandptekstGaramond"/>
            </w:pPr>
            <w:r>
              <w:t>SRF finder, at der er forskel på b</w:t>
            </w:r>
            <w:r>
              <w:t>e</w:t>
            </w:r>
            <w:r>
              <w:t>mærkningerne til lovforslagets § 2 og ordlyden af § 2</w:t>
            </w:r>
            <w:r w:rsidR="00BD5105">
              <w:t xml:space="preserve"> om ændring af boa</w:t>
            </w:r>
            <w:r w:rsidR="00BD5105">
              <w:t>f</w:t>
            </w:r>
            <w:r w:rsidR="00BD5105">
              <w:t>giftsloven</w:t>
            </w:r>
            <w:r>
              <w:t>. SRF finder, at det ikke er hensigtsmæssigt, at ordlyden umi</w:t>
            </w:r>
            <w:r>
              <w:t>d</w:t>
            </w:r>
            <w:r>
              <w:t>delbart lægger op til en begrænsning af hvilke trusts, der skal medtages i boopgørelsen.</w:t>
            </w:r>
          </w:p>
          <w:p w:rsidR="004B745E" w:rsidRDefault="004B745E" w:rsidP="004B745E">
            <w:pPr>
              <w:pStyle w:val="Tabel-BrdtekstmedafstandptekstGaramond"/>
            </w:pPr>
          </w:p>
          <w:p w:rsidR="004B745E" w:rsidRDefault="004B745E" w:rsidP="004B745E">
            <w:pPr>
              <w:pStyle w:val="Tabel-BrdtekstmedafstandptekstGaramond"/>
            </w:pPr>
            <w:r>
              <w:t>SRF finder, at det kunne det være hensigtsmæssigt, hvis det præciseres, at aktiver og passiver skal værdiansæ</w:t>
            </w:r>
            <w:r>
              <w:t>t</w:t>
            </w:r>
            <w:r>
              <w:t>tes til handelsværdi.</w:t>
            </w:r>
          </w:p>
          <w:p w:rsidR="004B745E" w:rsidRDefault="004B745E" w:rsidP="004B745E">
            <w:pPr>
              <w:pStyle w:val="Tabel-BrdtekstmedafstandptekstGaramond"/>
            </w:pPr>
          </w:p>
          <w:p w:rsidR="004B745E" w:rsidRDefault="004B745E" w:rsidP="004B745E">
            <w:pPr>
              <w:pStyle w:val="Tabel-BrdtekstmedafstandptekstGaramond"/>
            </w:pPr>
            <w:r>
              <w:t>SRF bemærker, at det ikke klart fre</w:t>
            </w:r>
            <w:r>
              <w:t>m</w:t>
            </w:r>
            <w:r>
              <w:t>går af lovforslagets § 1, hvorvidt b</w:t>
            </w:r>
            <w:r>
              <w:t>e</w:t>
            </w:r>
            <w:r>
              <w:t>skatningen af de løbende indkomster i trusten vil overgå til arvingerne, når stifteren dør.</w:t>
            </w:r>
          </w:p>
          <w:p w:rsidR="004B745E" w:rsidRDefault="004B745E" w:rsidP="004B745E">
            <w:pPr>
              <w:pStyle w:val="Tabel-BrdtekstmedafstandptekstGaramond"/>
            </w:pPr>
          </w:p>
          <w:p w:rsidR="004B745E" w:rsidRDefault="000E3E1C" w:rsidP="004B745E">
            <w:pPr>
              <w:pStyle w:val="Tabel-BrdtekstmedafstandptekstGaramond"/>
            </w:pPr>
            <w:r>
              <w:t xml:space="preserve">Hvis trusten </w:t>
            </w:r>
            <w:r w:rsidR="004B745E">
              <w:t>gaveoverdrage</w:t>
            </w:r>
            <w:r>
              <w:t xml:space="preserve">s, vil </w:t>
            </w:r>
            <w:r w:rsidR="004B745E">
              <w:t>g</w:t>
            </w:r>
            <w:r w:rsidR="004B745E">
              <w:t>a</w:t>
            </w:r>
            <w:r w:rsidR="004B745E">
              <w:t>vemodtager</w:t>
            </w:r>
            <w:r>
              <w:t xml:space="preserve">en så </w:t>
            </w:r>
            <w:r w:rsidR="004B745E">
              <w:t>overtage beskatni</w:t>
            </w:r>
            <w:r w:rsidR="004B745E">
              <w:t>n</w:t>
            </w:r>
            <w:r w:rsidR="004B745E">
              <w:t>gen af den løbende indkomst i tr</w:t>
            </w:r>
            <w:r w:rsidR="004B745E">
              <w:t>u</w:t>
            </w:r>
            <w:r w:rsidR="004B745E">
              <w:t>sten</w:t>
            </w:r>
            <w:r w:rsidR="00BD5105">
              <w:t>?</w:t>
            </w:r>
            <w:r w:rsidR="004B745E">
              <w:t xml:space="preserve"> </w:t>
            </w:r>
            <w:r>
              <w:t xml:space="preserve">SRF frygter, at </w:t>
            </w:r>
            <w:r w:rsidR="004B745E">
              <w:t xml:space="preserve">reglerne </w:t>
            </w:r>
            <w:r>
              <w:t xml:space="preserve">vil </w:t>
            </w:r>
            <w:r w:rsidR="004B745E">
              <w:t>ku</w:t>
            </w:r>
            <w:r w:rsidR="004B745E">
              <w:t>n</w:t>
            </w:r>
            <w:r w:rsidR="004B745E">
              <w:t>ne omgås blot ved at stifte en trust og i samme øjeblik overdrage den til børnene, der jo ikke er stiftere, men begunstigede eller lignende.</w:t>
            </w:r>
            <w:r w:rsidR="00DD12BD">
              <w:t xml:space="preserve"> </w:t>
            </w:r>
            <w:r w:rsidR="004B745E">
              <w:t>SRF b</w:t>
            </w:r>
            <w:r w:rsidR="004B745E">
              <w:t>e</w:t>
            </w:r>
            <w:r w:rsidR="004B745E">
              <w:lastRenderedPageBreak/>
              <w:t>mærker, at det derfor vil være nø</w:t>
            </w:r>
            <w:r w:rsidR="004B745E">
              <w:t>d</w:t>
            </w:r>
            <w:r w:rsidR="004B745E">
              <w:t>vendigt at se på muligheden for at indføre regler</w:t>
            </w:r>
            <w:r w:rsidR="00BD5105">
              <w:t>,</w:t>
            </w:r>
            <w:r w:rsidR="004B745E">
              <w:t xml:space="preserve"> der sikrer</w:t>
            </w:r>
            <w:r w:rsidR="00BD5105">
              <w:t>,</w:t>
            </w:r>
            <w:r w:rsidR="004B745E">
              <w:t xml:space="preserve"> at afkom mv.</w:t>
            </w:r>
            <w:r>
              <w:t>,</w:t>
            </w:r>
            <w:r w:rsidR="004B745E">
              <w:t xml:space="preserve"> der indsættes som begunstigede i en trust</w:t>
            </w:r>
            <w:r>
              <w:t>,</w:t>
            </w:r>
            <w:r w:rsidR="004B745E">
              <w:t xml:space="preserve"> bliver gaveafgiftspligtige af midlerne i trusten, hvis de overføres ved gave, hvis en sådan situation skal undgås.</w:t>
            </w:r>
          </w:p>
          <w:p w:rsidR="004B745E" w:rsidRDefault="004B745E" w:rsidP="004B745E">
            <w:pPr>
              <w:pStyle w:val="Tabel-BrdtekstmedafstandptekstGaramond"/>
            </w:pPr>
          </w:p>
          <w:p w:rsidR="004B745E" w:rsidRDefault="004B745E" w:rsidP="004B745E">
            <w:pPr>
              <w:pStyle w:val="Tabel-BrdtekstmedafstandptekstGaramond"/>
            </w:pPr>
            <w:r>
              <w:t>Efter de foreslåede bestemmelser vil en udenlandsk trust, når visse beti</w:t>
            </w:r>
            <w:r>
              <w:t>n</w:t>
            </w:r>
            <w:r>
              <w:t>gelser er opfyldt, ikke kunne beskattes som et selvstændigt skattesubjekt. Det betyder, at afkastet beskattes hos sti</w:t>
            </w:r>
            <w:r>
              <w:t>f</w:t>
            </w:r>
            <w:r>
              <w:t>teren, og at han anses som skattemæ</w:t>
            </w:r>
            <w:r>
              <w:t>s</w:t>
            </w:r>
            <w:r>
              <w:t xml:space="preserve">sig ejer af formuen. </w:t>
            </w:r>
          </w:p>
          <w:p w:rsidR="004B745E" w:rsidRDefault="004B745E" w:rsidP="004B745E">
            <w:pPr>
              <w:pStyle w:val="Tabel-BrdtekstmedafstandptekstGaramond"/>
            </w:pPr>
          </w:p>
          <w:p w:rsidR="008542D3" w:rsidRDefault="008542D3" w:rsidP="0065507E">
            <w:pPr>
              <w:pStyle w:val="Tabel-BrdtekstmedafstandptekstGaramond"/>
            </w:pPr>
          </w:p>
          <w:p w:rsidR="008542D3" w:rsidRDefault="008542D3" w:rsidP="0065507E">
            <w:pPr>
              <w:pStyle w:val="Tabel-BrdtekstmedafstandptekstGaramond"/>
            </w:pPr>
          </w:p>
          <w:p w:rsidR="005004E8" w:rsidRDefault="005004E8" w:rsidP="0065507E">
            <w:pPr>
              <w:pStyle w:val="Tabel-BrdtekstmedafstandptekstGaramond"/>
            </w:pPr>
          </w:p>
          <w:p w:rsidR="004B745E" w:rsidRDefault="004B745E" w:rsidP="0065507E">
            <w:pPr>
              <w:pStyle w:val="Tabel-BrdtekstmedafstandptekstGaramond"/>
            </w:pPr>
            <w:r>
              <w:t>Når stifteren dør, skal der derfor også betales boafgift af trustens værdi.</w:t>
            </w:r>
            <w:r w:rsidR="0065507E">
              <w:t xml:space="preserve"> R</w:t>
            </w:r>
            <w:r>
              <w:t>eglerne i udlandet kan tænkes at a</w:t>
            </w:r>
            <w:r>
              <w:t>c</w:t>
            </w:r>
            <w:r>
              <w:t>ceptere trusten som selvstændig e</w:t>
            </w:r>
            <w:r>
              <w:t>n</w:t>
            </w:r>
            <w:r>
              <w:t>hed. Herved opstår blandt andet det problem, at den boafgift</w:t>
            </w:r>
            <w:r w:rsidR="000E3E1C">
              <w:t>,</w:t>
            </w:r>
            <w:r>
              <w:t xml:space="preserve"> der skal b</w:t>
            </w:r>
            <w:r>
              <w:t>e</w:t>
            </w:r>
            <w:r>
              <w:t>tales af trusten, ikke kan hentes fra dens midler</w:t>
            </w:r>
            <w:r w:rsidR="000E3E1C">
              <w:t xml:space="preserve"> med</w:t>
            </w:r>
            <w:r>
              <w:t xml:space="preserve"> det resultat</w:t>
            </w:r>
            <w:r w:rsidR="000E3E1C">
              <w:t>,</w:t>
            </w:r>
            <w:r>
              <w:t xml:space="preserve"> at afgi</w:t>
            </w:r>
            <w:r>
              <w:t>f</w:t>
            </w:r>
            <w:r>
              <w:t>ten ikke kan betales.</w:t>
            </w:r>
          </w:p>
        </w:tc>
        <w:tc>
          <w:tcPr>
            <w:tcW w:w="112" w:type="dxa"/>
            <w:shd w:val="clear" w:color="auto" w:fill="FFFFFF" w:themeFill="background1"/>
          </w:tcPr>
          <w:p w:rsidR="007E1867" w:rsidRPr="00B5346F" w:rsidRDefault="007E1867" w:rsidP="001A1477"/>
        </w:tc>
        <w:tc>
          <w:tcPr>
            <w:tcW w:w="3665" w:type="dxa"/>
            <w:tcBorders>
              <w:top w:val="single" w:sz="4" w:space="0" w:color="14143C" w:themeColor="accent1"/>
              <w:bottom w:val="single" w:sz="4" w:space="0" w:color="14143C" w:themeColor="accent1"/>
            </w:tcBorders>
            <w:shd w:val="clear" w:color="auto" w:fill="D2CED8"/>
          </w:tcPr>
          <w:p w:rsidR="00BD5105" w:rsidRDefault="00BD5105" w:rsidP="001A1477">
            <w:pPr>
              <w:pStyle w:val="Tabel-BrdtekstmedafstandptekstGaramond"/>
            </w:pPr>
          </w:p>
          <w:p w:rsidR="007E1867" w:rsidRDefault="00DD12BD" w:rsidP="001A1477">
            <w:pPr>
              <w:pStyle w:val="Tabel-BrdtekstmedafstandptekstGaramond"/>
            </w:pPr>
            <w:r>
              <w:t>Der ses ikke at være forskel på b</w:t>
            </w:r>
            <w:r>
              <w:t>e</w:t>
            </w:r>
            <w:r>
              <w:t>mærkningerne og ordlyden. Det b</w:t>
            </w:r>
            <w:r>
              <w:t>e</w:t>
            </w:r>
            <w:r>
              <w:t>mærkes, at ”i det omfang” skal hån</w:t>
            </w:r>
            <w:r>
              <w:t>d</w:t>
            </w:r>
            <w:r>
              <w:t>tere den situation, hvor der er flere stiftere/indskydere i trusten. I denne situation er det alene en forholdsmæ</w:t>
            </w:r>
            <w:r>
              <w:t>s</w:t>
            </w:r>
            <w:r>
              <w:t>sig del af aktiverne og passiverne, der medtages i boopgørelsen.</w:t>
            </w:r>
          </w:p>
          <w:p w:rsidR="00DD12BD" w:rsidRDefault="00DD12BD" w:rsidP="001A1477">
            <w:pPr>
              <w:pStyle w:val="Tabel-BrdtekstmedafstandptekstGaramond"/>
            </w:pPr>
          </w:p>
          <w:p w:rsidR="00DD12BD" w:rsidRDefault="00DD12BD" w:rsidP="001A1477">
            <w:pPr>
              <w:pStyle w:val="Tabel-BrdtekstmedafstandptekstGaramond"/>
            </w:pPr>
            <w:r>
              <w:t xml:space="preserve">Det er præciseret, at det </w:t>
            </w:r>
            <w:r w:rsidR="005004E8">
              <w:t xml:space="preserve">er </w:t>
            </w:r>
            <w:r>
              <w:t>handel</w:t>
            </w:r>
            <w:r>
              <w:t>s</w:t>
            </w:r>
            <w:r>
              <w:t>værdien</w:t>
            </w:r>
            <w:r w:rsidR="005004E8">
              <w:t>, der anvendes</w:t>
            </w:r>
            <w:r>
              <w:t>.</w:t>
            </w:r>
          </w:p>
          <w:p w:rsidR="00DD12BD" w:rsidRDefault="00DD12BD" w:rsidP="001A1477">
            <w:pPr>
              <w:pStyle w:val="Tabel-BrdtekstmedafstandptekstGaramond"/>
            </w:pPr>
          </w:p>
          <w:p w:rsidR="00DD12BD" w:rsidRDefault="00DD12BD" w:rsidP="001A1477">
            <w:pPr>
              <w:pStyle w:val="Tabel-BrdtekstmedafstandptekstGaramond"/>
            </w:pPr>
          </w:p>
          <w:p w:rsidR="00DD12BD" w:rsidRDefault="00DD12BD" w:rsidP="001A1477">
            <w:pPr>
              <w:pStyle w:val="Tabel-BrdtekstmedafstandptekstGaramond"/>
            </w:pPr>
          </w:p>
          <w:p w:rsidR="00DD12BD" w:rsidRDefault="00DD12BD" w:rsidP="001A1477">
            <w:pPr>
              <w:pStyle w:val="Tabel-BrdtekstmedafstandptekstGaramond"/>
            </w:pPr>
            <w:r>
              <w:t>Arvingerne vil ikke som følge af li</w:t>
            </w:r>
            <w:r>
              <w:t>g</w:t>
            </w:r>
            <w:r>
              <w:t>ningslovens § 16 K blive skattepligtige af den løbende indkomst i trusten.</w:t>
            </w:r>
          </w:p>
          <w:p w:rsidR="00DD12BD" w:rsidRDefault="00DD12BD" w:rsidP="001A1477">
            <w:pPr>
              <w:pStyle w:val="Tabel-BrdtekstmedafstandptekstGaramond"/>
            </w:pPr>
          </w:p>
          <w:p w:rsidR="00DD12BD" w:rsidRDefault="00DD12BD" w:rsidP="001A1477">
            <w:pPr>
              <w:pStyle w:val="Tabel-BrdtekstmedafstandptekstGaramond"/>
            </w:pPr>
          </w:p>
          <w:p w:rsidR="00C05FBA" w:rsidRDefault="00C05FBA" w:rsidP="001A1477">
            <w:pPr>
              <w:pStyle w:val="Tabel-BrdtekstmedafstandptekstGaramond"/>
            </w:pPr>
          </w:p>
          <w:p w:rsidR="00DD12BD" w:rsidRDefault="00DD12BD" w:rsidP="00DD12BD">
            <w:pPr>
              <w:pStyle w:val="Tabel-BrdtekstmedafstandptekstGaramond"/>
            </w:pPr>
            <w:r>
              <w:t>Hvis selve trusten gaveoverdrages fra stifteren til et familiemedlem, vil der være tale om en gave. Dette følger af de gældende regler, og det ændres der ikke på.</w:t>
            </w:r>
          </w:p>
          <w:p w:rsidR="00DD12BD" w:rsidRDefault="00DD12BD" w:rsidP="00DD12BD">
            <w:pPr>
              <w:pStyle w:val="Tabel-BrdtekstmedafstandptekstGaramond"/>
            </w:pPr>
          </w:p>
          <w:p w:rsidR="00DD12BD" w:rsidRDefault="00DD12BD" w:rsidP="00DD12BD">
            <w:pPr>
              <w:pStyle w:val="Tabel-BrdtekstmedafstandptekstGaramond"/>
            </w:pPr>
            <w:r>
              <w:t xml:space="preserve">Hvis aktiverne i trusten uddeles til stifterens familiemedlemmer, vil der </w:t>
            </w:r>
            <w:r>
              <w:lastRenderedPageBreak/>
              <w:t>være tale om en uddeling fra trusten omfattet af statsskattelovens § 4. De</w:t>
            </w:r>
            <w:r>
              <w:t>t</w:t>
            </w:r>
            <w:r>
              <w:t xml:space="preserve">te følger af gældende regler, og det ændres der </w:t>
            </w:r>
            <w:r w:rsidR="00BD5105">
              <w:t xml:space="preserve">heller </w:t>
            </w:r>
            <w:r>
              <w:t>ikke på.</w:t>
            </w:r>
          </w:p>
          <w:p w:rsidR="00DD12BD" w:rsidRDefault="00DD12BD" w:rsidP="00DD12BD">
            <w:pPr>
              <w:pStyle w:val="Tabel-BrdtekstmedafstandptekstGaramond"/>
            </w:pPr>
          </w:p>
          <w:p w:rsidR="00DD12BD" w:rsidRDefault="00DD12BD" w:rsidP="00DD12BD">
            <w:pPr>
              <w:pStyle w:val="Tabel-BrdtekstmedafstandptekstGaramond"/>
            </w:pPr>
          </w:p>
          <w:p w:rsidR="00DD12BD" w:rsidRDefault="00DD12BD" w:rsidP="00DD12BD">
            <w:pPr>
              <w:pStyle w:val="Tabel-BrdtekstmedafstandptekstGaramond"/>
            </w:pPr>
          </w:p>
          <w:p w:rsidR="00DD12BD" w:rsidRDefault="00DD12BD" w:rsidP="00DD12BD">
            <w:pPr>
              <w:pStyle w:val="Tabel-BrdtekstmedafstandptekstGaramond"/>
            </w:pPr>
          </w:p>
          <w:p w:rsidR="00DD12BD" w:rsidRDefault="00DD12BD" w:rsidP="00DD12BD">
            <w:pPr>
              <w:pStyle w:val="Tabel-BrdtekstmedafstandptekstGaramond"/>
            </w:pPr>
          </w:p>
          <w:p w:rsidR="00DD12BD" w:rsidRDefault="00DD12BD" w:rsidP="008542D3">
            <w:pPr>
              <w:pStyle w:val="Tabel-BrdtekstmedafstandptekstGaramond"/>
            </w:pPr>
            <w:r>
              <w:t xml:space="preserve">Det bemærkes, at lovforslaget ikke ændrer på, at trusts – når </w:t>
            </w:r>
            <w:r w:rsidR="008542D3">
              <w:t>der umi</w:t>
            </w:r>
            <w:r w:rsidR="008542D3">
              <w:t>d</w:t>
            </w:r>
            <w:r w:rsidR="008542D3">
              <w:t>delbart er givet endeligt og uigenka</w:t>
            </w:r>
            <w:r w:rsidR="008542D3">
              <w:t>l</w:t>
            </w:r>
            <w:r w:rsidR="008542D3">
              <w:t>deligt afkald på formuen – vil skulle anses for at være et selvstændigt ska</w:t>
            </w:r>
            <w:r w:rsidR="008542D3">
              <w:t>t</w:t>
            </w:r>
            <w:r w:rsidR="008542D3">
              <w:t xml:space="preserve">tesubjekt eller en båndlagt kapital. Stifteren pålægges en beskatning af indkomsten i trusten i lighed med CFC-beskatning af </w:t>
            </w:r>
            <w:r w:rsidR="005004E8">
              <w:t>person</w:t>
            </w:r>
            <w:r w:rsidR="008542D3">
              <w:t xml:space="preserve">er i </w:t>
            </w:r>
            <w:r w:rsidR="005004E8">
              <w:t>li</w:t>
            </w:r>
            <w:r w:rsidR="005004E8">
              <w:t>g</w:t>
            </w:r>
            <w:r w:rsidR="005004E8">
              <w:t xml:space="preserve">ningslovens </w:t>
            </w:r>
            <w:r w:rsidR="008542D3">
              <w:t xml:space="preserve">§ </w:t>
            </w:r>
            <w:r w:rsidR="005004E8">
              <w:t>16 H</w:t>
            </w:r>
            <w:r w:rsidR="008542D3">
              <w:t>.</w:t>
            </w:r>
          </w:p>
          <w:p w:rsidR="008542D3" w:rsidRDefault="008542D3" w:rsidP="008542D3">
            <w:pPr>
              <w:pStyle w:val="Tabel-BrdtekstmedafstandptekstGaramond"/>
            </w:pPr>
          </w:p>
          <w:p w:rsidR="008542D3" w:rsidRPr="00B5346F" w:rsidRDefault="008542D3" w:rsidP="008542D3">
            <w:pPr>
              <w:pStyle w:val="Tabel-BrdtekstmedafstandptekstGaramond"/>
            </w:pPr>
            <w:r>
              <w:t>Boafgiften ka</w:t>
            </w:r>
            <w:r w:rsidR="00B36231">
              <w:t>n hentes fra det samlede bo</w:t>
            </w:r>
            <w:r>
              <w:t>.</w:t>
            </w:r>
          </w:p>
        </w:tc>
      </w:tr>
      <w:tr w:rsidR="00815F28" w:rsidRPr="00B5346F" w:rsidTr="005004E8">
        <w:tc>
          <w:tcPr>
            <w:tcW w:w="2093" w:type="dxa"/>
            <w:tcBorders>
              <w:top w:val="single" w:sz="4" w:space="0" w:color="D1C5C3" w:themeColor="accent3"/>
              <w:bottom w:val="single" w:sz="4" w:space="0" w:color="D1C5C3" w:themeColor="accent3"/>
            </w:tcBorders>
            <w:shd w:val="clear" w:color="auto" w:fill="FBF9F9"/>
          </w:tcPr>
          <w:p w:rsidR="00815F28" w:rsidRPr="00600E3E" w:rsidRDefault="00F74267" w:rsidP="00BD5105">
            <w:pPr>
              <w:pStyle w:val="Tabel-BrdtekstmedafstandptekstGaramond"/>
              <w:rPr>
                <w:i/>
              </w:rPr>
            </w:pPr>
            <w:r>
              <w:rPr>
                <w:i/>
              </w:rPr>
              <w:lastRenderedPageBreak/>
              <w:t>Professor Rasmus Kristi</w:t>
            </w:r>
            <w:r w:rsidR="005E56D6">
              <w:rPr>
                <w:i/>
              </w:rPr>
              <w:t>an Feldth</w:t>
            </w:r>
            <w:r>
              <w:rPr>
                <w:i/>
              </w:rPr>
              <w:t>usen</w:t>
            </w:r>
            <w:r w:rsidR="00BD5105">
              <w:rPr>
                <w:i/>
              </w:rPr>
              <w:t>,</w:t>
            </w:r>
            <w:r w:rsidR="00E62019">
              <w:rPr>
                <w:i/>
              </w:rPr>
              <w:t xml:space="preserve"> </w:t>
            </w:r>
            <w:bookmarkStart w:id="2" w:name="_GoBack"/>
            <w:bookmarkEnd w:id="2"/>
            <w:r w:rsidR="00BD5105">
              <w:rPr>
                <w:i/>
              </w:rPr>
              <w:t>Københavns Unive</w:t>
            </w:r>
            <w:r w:rsidR="00BD5105">
              <w:rPr>
                <w:i/>
              </w:rPr>
              <w:t>r</w:t>
            </w:r>
            <w:r w:rsidR="00BD5105">
              <w:rPr>
                <w:i/>
              </w:rPr>
              <w:t>sitet</w:t>
            </w:r>
          </w:p>
        </w:tc>
        <w:tc>
          <w:tcPr>
            <w:tcW w:w="104" w:type="dxa"/>
            <w:shd w:val="clear" w:color="auto" w:fill="FFFFFF" w:themeFill="background1"/>
          </w:tcPr>
          <w:p w:rsidR="00815F28" w:rsidRPr="00B5346F" w:rsidRDefault="00815F28" w:rsidP="001A1477"/>
        </w:tc>
        <w:tc>
          <w:tcPr>
            <w:tcW w:w="3665" w:type="dxa"/>
            <w:tcBorders>
              <w:top w:val="single" w:sz="4" w:space="0" w:color="D1C5C3" w:themeColor="accent3"/>
              <w:bottom w:val="single" w:sz="4" w:space="0" w:color="D1C5C3" w:themeColor="accent3"/>
            </w:tcBorders>
            <w:shd w:val="clear" w:color="auto" w:fill="FBF9F9"/>
          </w:tcPr>
          <w:p w:rsidR="00815F28" w:rsidRDefault="007E1867" w:rsidP="001A1477">
            <w:pPr>
              <w:pStyle w:val="Tabel-BrdtekstmedafstandptekstGaramond"/>
            </w:pPr>
            <w:r>
              <w:t>Rasmus Feldthusen (RF) mener, at det er uhensigtsmæssigt at bryde med de eksisterende kriterier for, hvornår en person har en sådan rådighed i henhold til en konkret trust, at ve</w:t>
            </w:r>
            <w:r>
              <w:t>d</w:t>
            </w:r>
            <w:r>
              <w:t>kommende bør anses for at være rette indkomstmodtager.</w:t>
            </w:r>
          </w:p>
          <w:p w:rsidR="007E1867" w:rsidRDefault="007E1867" w:rsidP="001A1477">
            <w:pPr>
              <w:pStyle w:val="Tabel-BrdtekstmedafstandptekstGaramond"/>
            </w:pPr>
          </w:p>
          <w:p w:rsidR="008D2C3E" w:rsidRDefault="008D2C3E" w:rsidP="007E1867">
            <w:pPr>
              <w:pStyle w:val="Tabel-BrdtekstmedafstandptekstGaramond"/>
            </w:pPr>
          </w:p>
          <w:p w:rsidR="005004E8" w:rsidRDefault="005004E8" w:rsidP="007E1867">
            <w:pPr>
              <w:pStyle w:val="Tabel-BrdtekstmedafstandptekstGaramond"/>
            </w:pPr>
          </w:p>
          <w:p w:rsidR="007E1867" w:rsidRDefault="007E1867" w:rsidP="007E1867">
            <w:pPr>
              <w:pStyle w:val="Tabel-BrdtekstmedafstandptekstGaramond"/>
            </w:pPr>
            <w:r>
              <w:t>RF mener, at det er uhensigtsmæssigt at forskelsbehandle danske famili</w:t>
            </w:r>
            <w:r>
              <w:t>e</w:t>
            </w:r>
            <w:r>
              <w:t xml:space="preserve">fonde og trusts stiftet til fordel for </w:t>
            </w:r>
            <w:r>
              <w:lastRenderedPageBreak/>
              <w:t>familiemedlemmer. RF vurderer, at det tillige kunne være i strid med EU retten, herunder kapitalens frie bev</w:t>
            </w:r>
            <w:r>
              <w:t>æ</w:t>
            </w:r>
            <w:r>
              <w:t>gelighed.</w:t>
            </w:r>
          </w:p>
          <w:p w:rsidR="007E1867" w:rsidRDefault="007E1867" w:rsidP="007E1867">
            <w:pPr>
              <w:pStyle w:val="Tabel-BrdtekstmedafstandptekstGaramond"/>
            </w:pPr>
          </w:p>
          <w:p w:rsidR="008D2C3E" w:rsidRDefault="008D2C3E" w:rsidP="007E1867">
            <w:pPr>
              <w:pStyle w:val="Tabel-BrdtekstmedafstandptekstGaramond"/>
            </w:pPr>
          </w:p>
          <w:p w:rsidR="008D2C3E" w:rsidRDefault="008D2C3E" w:rsidP="007E1867">
            <w:pPr>
              <w:pStyle w:val="Tabel-BrdtekstmedafstandptekstGaramond"/>
            </w:pPr>
          </w:p>
          <w:p w:rsidR="008D2C3E" w:rsidRDefault="008D2C3E" w:rsidP="007E1867">
            <w:pPr>
              <w:pStyle w:val="Tabel-BrdtekstmedafstandptekstGaramond"/>
            </w:pPr>
          </w:p>
          <w:p w:rsidR="008D2C3E" w:rsidRDefault="008D2C3E" w:rsidP="007E1867">
            <w:pPr>
              <w:pStyle w:val="Tabel-BrdtekstmedafstandptekstGaramond"/>
            </w:pPr>
          </w:p>
          <w:p w:rsidR="008D2C3E" w:rsidRDefault="008D2C3E" w:rsidP="007E1867">
            <w:pPr>
              <w:pStyle w:val="Tabel-BrdtekstmedafstandptekstGaramond"/>
            </w:pPr>
          </w:p>
          <w:p w:rsidR="003D2505" w:rsidRDefault="003D2505" w:rsidP="007E1867">
            <w:pPr>
              <w:pStyle w:val="Tabel-BrdtekstmedafstandptekstGaramond"/>
            </w:pPr>
          </w:p>
          <w:p w:rsidR="003B0A6F" w:rsidRDefault="003B0A6F" w:rsidP="007E1867">
            <w:pPr>
              <w:pStyle w:val="Tabel-BrdtekstmedafstandptekstGaramond"/>
            </w:pPr>
          </w:p>
          <w:p w:rsidR="007E1867" w:rsidRDefault="00854B0D" w:rsidP="00DD2AEE">
            <w:pPr>
              <w:pStyle w:val="Tabel-BrdtekstmedafstandptekstGaramond"/>
            </w:pPr>
            <w:r>
              <w:t xml:space="preserve">Lovforslaget kan give anledning til dobbeltbeskatning, hvis </w:t>
            </w:r>
            <w:proofErr w:type="spellStart"/>
            <w:r>
              <w:t>trustee</w:t>
            </w:r>
            <w:proofErr w:type="spellEnd"/>
            <w:r>
              <w:t xml:space="preserve"> b</w:t>
            </w:r>
            <w:r>
              <w:t>e</w:t>
            </w:r>
            <w:r>
              <w:t>skattes i en anden stat.</w:t>
            </w:r>
          </w:p>
          <w:p w:rsidR="00854B0D" w:rsidRDefault="00854B0D" w:rsidP="007E1867">
            <w:pPr>
              <w:pStyle w:val="Tabel-BrdtekstmedafstandptekstGaramond"/>
            </w:pPr>
          </w:p>
          <w:p w:rsidR="00CE5090" w:rsidRDefault="00CE5090" w:rsidP="007E1867">
            <w:pPr>
              <w:pStyle w:val="Tabel-BrdtekstmedafstandptekstGaramond"/>
            </w:pPr>
          </w:p>
          <w:p w:rsidR="00854B0D" w:rsidRDefault="00854B0D" w:rsidP="007E1867">
            <w:pPr>
              <w:pStyle w:val="Tabel-BrdtekstmedafstandptekstGaramond"/>
            </w:pPr>
            <w:r>
              <w:t>I modsætning til danske familiefonde får stifteren ikke fradrag/</w:t>
            </w:r>
            <w:proofErr w:type="spellStart"/>
            <w:r>
              <w:t>credit</w:t>
            </w:r>
            <w:proofErr w:type="spellEnd"/>
            <w:r>
              <w:t xml:space="preserve"> for uddelinger fra trusten. Derved sker der reelt økonomisk dobbeltbeska</w:t>
            </w:r>
            <w:r>
              <w:t>t</w:t>
            </w:r>
            <w:r>
              <w:t xml:space="preserve">ning. </w:t>
            </w:r>
          </w:p>
          <w:p w:rsidR="00854B0D" w:rsidRDefault="00854B0D" w:rsidP="007E1867">
            <w:pPr>
              <w:pStyle w:val="Tabel-BrdtekstmedafstandptekstGaramond"/>
            </w:pPr>
          </w:p>
          <w:p w:rsidR="00470761" w:rsidRDefault="00470761" w:rsidP="007E1867">
            <w:pPr>
              <w:pStyle w:val="Tabel-BrdtekstmedafstandptekstGaramond"/>
            </w:pPr>
          </w:p>
          <w:p w:rsidR="00470761" w:rsidRDefault="00470761" w:rsidP="007E1867">
            <w:pPr>
              <w:pStyle w:val="Tabel-BrdtekstmedafstandptekstGaramond"/>
            </w:pPr>
          </w:p>
          <w:p w:rsidR="00854B0D" w:rsidRDefault="00854B0D" w:rsidP="007E1867">
            <w:pPr>
              <w:pStyle w:val="Tabel-BrdtekstmedafstandptekstGaramond"/>
            </w:pPr>
            <w:r>
              <w:t>Lovforslaget synes at indebære, at stifteren beskattes på ny af de samme aktiver, som denne har overdraget til trusten.</w:t>
            </w:r>
          </w:p>
          <w:p w:rsidR="00F75008" w:rsidRDefault="00F75008" w:rsidP="00034B33">
            <w:pPr>
              <w:pStyle w:val="Tabel-BrdtekstmedafstandptekstGaramond"/>
            </w:pPr>
          </w:p>
          <w:p w:rsidR="00854B0D" w:rsidRPr="00B5346F" w:rsidRDefault="00854B0D" w:rsidP="00034B33">
            <w:pPr>
              <w:pStyle w:val="Tabel-BrdtekstmedafstandptekstGaramond"/>
            </w:pPr>
            <w:r>
              <w:t xml:space="preserve">Forslagets § 16 K, stk. 8, medfører, at </w:t>
            </w:r>
            <w:r w:rsidR="00034B33">
              <w:t xml:space="preserve">stiftere af </w:t>
            </w:r>
            <w:r>
              <w:t>fonde og andre lignende enheder kan drage fordel af, at den pågældende stat</w:t>
            </w:r>
            <w:r w:rsidR="00034B33">
              <w:t>s lovgivning indeho</w:t>
            </w:r>
            <w:r w:rsidR="00034B33">
              <w:t>l</w:t>
            </w:r>
            <w:r w:rsidR="00034B33">
              <w:t>der krav om uigenkaldelig overdrage</w:t>
            </w:r>
            <w:r w:rsidR="00034B33">
              <w:t>l</w:t>
            </w:r>
            <w:r w:rsidR="00034B33">
              <w:t xml:space="preserve">se af midlerne. </w:t>
            </w:r>
            <w:r>
              <w:t xml:space="preserve">Der er ikke </w:t>
            </w:r>
            <w:r w:rsidR="00034B33">
              <w:t>en tilsv</w:t>
            </w:r>
            <w:r w:rsidR="00034B33">
              <w:t>a</w:t>
            </w:r>
            <w:r w:rsidR="00034B33">
              <w:t xml:space="preserve">rende adgang for stiftere af </w:t>
            </w:r>
            <w:r>
              <w:t xml:space="preserve">trusts, hvis der undtagelsesvist måtte være </w:t>
            </w:r>
            <w:r w:rsidR="00034B33">
              <w:t xml:space="preserve">en sådan </w:t>
            </w:r>
            <w:r>
              <w:t>lovgiv</w:t>
            </w:r>
            <w:r w:rsidR="00034B33">
              <w:t>ning.</w:t>
            </w:r>
            <w:r>
              <w:t xml:space="preserve"> </w:t>
            </w:r>
            <w:r w:rsidR="00034B33">
              <w:t>Dette forekommer uhensigtsmæssigt og vil kunne være et problem efter EU- og EØS-retten.</w:t>
            </w:r>
          </w:p>
        </w:tc>
        <w:tc>
          <w:tcPr>
            <w:tcW w:w="112" w:type="dxa"/>
            <w:shd w:val="clear" w:color="auto" w:fill="FFFFFF" w:themeFill="background1"/>
          </w:tcPr>
          <w:p w:rsidR="00815F28" w:rsidRPr="00B5346F" w:rsidRDefault="00815F28" w:rsidP="001A1477"/>
        </w:tc>
        <w:tc>
          <w:tcPr>
            <w:tcW w:w="3665" w:type="dxa"/>
            <w:tcBorders>
              <w:top w:val="single" w:sz="4" w:space="0" w:color="14143C" w:themeColor="accent1"/>
              <w:bottom w:val="single" w:sz="4" w:space="0" w:color="14143C" w:themeColor="accent1"/>
            </w:tcBorders>
            <w:shd w:val="clear" w:color="auto" w:fill="D2CED8"/>
          </w:tcPr>
          <w:p w:rsidR="00815F28" w:rsidRDefault="0074766F" w:rsidP="008D2C3E">
            <w:pPr>
              <w:pStyle w:val="Tabel-BrdtekstmedafstandptekstGaramond"/>
            </w:pPr>
            <w:r>
              <w:t>Der ændres ikke på eksisterende re</w:t>
            </w:r>
            <w:r>
              <w:t>g</w:t>
            </w:r>
            <w:r>
              <w:t xml:space="preserve">ler, hvorefter trusten anses for rette indkomstmodtager. Lovforslaget medfører blot, at stifteren </w:t>
            </w:r>
            <w:r w:rsidR="008D2C3E">
              <w:t>fortsat b</w:t>
            </w:r>
            <w:r w:rsidR="008D2C3E">
              <w:t>e</w:t>
            </w:r>
            <w:r w:rsidR="008D2C3E">
              <w:t xml:space="preserve">skattes </w:t>
            </w:r>
            <w:r>
              <w:t>af afkastet i trusten</w:t>
            </w:r>
            <w:r w:rsidR="008D2C3E">
              <w:t xml:space="preserve"> (med le</w:t>
            </w:r>
            <w:r w:rsidR="008D2C3E">
              <w:t>m</w:t>
            </w:r>
            <w:r w:rsidR="008D2C3E">
              <w:t>pelse for evt. beskatning af trusten)</w:t>
            </w:r>
            <w:r>
              <w:t>, idet det ikke er muligt at kontrollere</w:t>
            </w:r>
            <w:r w:rsidR="00BD5105">
              <w:t>,</w:t>
            </w:r>
            <w:r>
              <w:t xml:space="preserve"> om</w:t>
            </w:r>
            <w:r w:rsidR="008D2C3E">
              <w:t xml:space="preserve"> der er givet</w:t>
            </w:r>
            <w:r>
              <w:t xml:space="preserve"> endeligt og uigenka</w:t>
            </w:r>
            <w:r>
              <w:t>l</w:t>
            </w:r>
            <w:r>
              <w:t xml:space="preserve">deligt </w:t>
            </w:r>
            <w:r w:rsidR="008D2C3E">
              <w:t>afkald på aktiverne.</w:t>
            </w:r>
          </w:p>
          <w:p w:rsidR="008D2C3E" w:rsidRDefault="008D2C3E" w:rsidP="008D2C3E">
            <w:pPr>
              <w:pStyle w:val="Tabel-BrdtekstmedafstandptekstGaramond"/>
            </w:pPr>
          </w:p>
          <w:p w:rsidR="008D2C3E" w:rsidRDefault="008D2C3E" w:rsidP="008D2C3E">
            <w:pPr>
              <w:pStyle w:val="Tabel-BrdtekstmedafstandptekstGaramond"/>
            </w:pPr>
            <w:r>
              <w:t>En trust adskiller sig grundlæggende fra en fond ved hverken at være sel</w:t>
            </w:r>
            <w:r>
              <w:t>v</w:t>
            </w:r>
            <w:r>
              <w:t xml:space="preserve">ejende eller en juridisk person. Der er </w:t>
            </w:r>
            <w:r>
              <w:lastRenderedPageBreak/>
              <w:t xml:space="preserve">en udstrakt grad af kontraktfrihed </w:t>
            </w:r>
            <w:proofErr w:type="spellStart"/>
            <w:r>
              <w:t>fsva</w:t>
            </w:r>
            <w:proofErr w:type="spellEnd"/>
            <w:r>
              <w:t xml:space="preserve">. trusts. En dansk familiefond er </w:t>
            </w:r>
            <w:r w:rsidR="003B0A6F">
              <w:t xml:space="preserve">derimod </w:t>
            </w:r>
            <w:r>
              <w:t>en selvstændig juridisk pe</w:t>
            </w:r>
            <w:r>
              <w:t>r</w:t>
            </w:r>
            <w:r>
              <w:t xml:space="preserve">son, der er underlagt offentligt tilsyn, og </w:t>
            </w:r>
            <w:r w:rsidR="003D2505">
              <w:t xml:space="preserve">det </w:t>
            </w:r>
            <w:r w:rsidR="00BC7BD3">
              <w:t>er en ufravigelig gyldighedsb</w:t>
            </w:r>
            <w:r w:rsidR="00BC7BD3">
              <w:t>e</w:t>
            </w:r>
            <w:r w:rsidR="00BC7BD3">
              <w:t>tingelse</w:t>
            </w:r>
            <w:r w:rsidR="003D2505">
              <w:t xml:space="preserve">, at </w:t>
            </w:r>
            <w:r>
              <w:t xml:space="preserve">formuen </w:t>
            </w:r>
            <w:r w:rsidR="003D2505">
              <w:t>skal være</w:t>
            </w:r>
            <w:r>
              <w:t xml:space="preserve"> uige</w:t>
            </w:r>
            <w:r>
              <w:t>n</w:t>
            </w:r>
            <w:r>
              <w:t>kaldeligt og endeligt adskilt fra stift</w:t>
            </w:r>
            <w:r>
              <w:t>e</w:t>
            </w:r>
            <w:r>
              <w:t>ren. En dansk familiefond er derfor ikke sammenlignelig med en trust</w:t>
            </w:r>
            <w:r w:rsidR="003B0A6F">
              <w:t>, og lovforslaget vurderes at være i ove</w:t>
            </w:r>
            <w:r w:rsidR="003B0A6F">
              <w:t>r</w:t>
            </w:r>
            <w:r w:rsidR="003B0A6F">
              <w:t>ensstemmelse med EU-retten</w:t>
            </w:r>
            <w:r>
              <w:t>.</w:t>
            </w:r>
          </w:p>
          <w:p w:rsidR="00CE5090" w:rsidRDefault="00CE5090" w:rsidP="008D2C3E">
            <w:pPr>
              <w:pStyle w:val="Tabel-BrdtekstmedafstandptekstGaramond"/>
            </w:pPr>
          </w:p>
          <w:p w:rsidR="00CE5090" w:rsidRDefault="00CE5090" w:rsidP="00CE5090">
            <w:pPr>
              <w:pStyle w:val="Tabel-BrdtekstmedafstandptekstGaramond"/>
            </w:pPr>
            <w:r>
              <w:t>Der gives nedslag for trustens danske og udenlandske skatter. Det er præc</w:t>
            </w:r>
            <w:r>
              <w:t>i</w:t>
            </w:r>
            <w:r>
              <w:t xml:space="preserve">seret, at dette også gælder for skatter betalt af </w:t>
            </w:r>
            <w:proofErr w:type="spellStart"/>
            <w:r>
              <w:t>trustee</w:t>
            </w:r>
            <w:proofErr w:type="spellEnd"/>
            <w:r>
              <w:t xml:space="preserve"> på vegne af trusten.</w:t>
            </w:r>
          </w:p>
          <w:p w:rsidR="00470761" w:rsidRDefault="00470761" w:rsidP="00CE5090">
            <w:pPr>
              <w:pStyle w:val="Tabel-BrdtekstmedafstandptekstGaramond"/>
            </w:pPr>
          </w:p>
          <w:p w:rsidR="00470761" w:rsidRDefault="00470761" w:rsidP="00CE5090">
            <w:pPr>
              <w:pStyle w:val="Tabel-BrdtekstmedafstandptekstGaramond"/>
            </w:pPr>
            <w:r>
              <w:t>Med lovforslaget sidestilles stifteren med den situation, at han/hun fortsat har rådighed over formuen. Der er ikke fradrag for gaver til familieme</w:t>
            </w:r>
            <w:r>
              <w:t>d</w:t>
            </w:r>
            <w:r>
              <w:t xml:space="preserve">lemmer, hvorfor stifteren af trusten heller ikke </w:t>
            </w:r>
            <w:r w:rsidR="00BD5105">
              <w:t>bør</w:t>
            </w:r>
            <w:r>
              <w:t xml:space="preserve"> have en sådan fr</w:t>
            </w:r>
            <w:r>
              <w:t>a</w:t>
            </w:r>
            <w:r>
              <w:t>dragsadgang.</w:t>
            </w:r>
          </w:p>
          <w:p w:rsidR="00F75008" w:rsidRDefault="00F75008" w:rsidP="00CE5090">
            <w:pPr>
              <w:pStyle w:val="Tabel-BrdtekstmedafstandptekstGaramond"/>
            </w:pPr>
          </w:p>
          <w:p w:rsidR="00F75008" w:rsidRDefault="00BE4368" w:rsidP="00F75008">
            <w:pPr>
              <w:pStyle w:val="Tabel-BrdtekstmedafstandptekstGaramond"/>
            </w:pPr>
            <w:r>
              <w:t xml:space="preserve">Der henvises til kommentaren til </w:t>
            </w:r>
            <w:r w:rsidR="00C4275C">
              <w:t>FSR</w:t>
            </w:r>
            <w:r>
              <w:t>.</w:t>
            </w:r>
          </w:p>
          <w:p w:rsidR="00BE4368" w:rsidRDefault="00BE4368" w:rsidP="00F75008">
            <w:pPr>
              <w:pStyle w:val="Tabel-BrdtekstmedafstandptekstGaramond"/>
            </w:pPr>
          </w:p>
          <w:p w:rsidR="00BE4368" w:rsidRDefault="00BE4368" w:rsidP="00F75008">
            <w:pPr>
              <w:pStyle w:val="Tabel-BrdtekstmedafstandptekstGaramond"/>
            </w:pPr>
          </w:p>
          <w:p w:rsidR="00BE4368" w:rsidRDefault="00BE4368" w:rsidP="00F75008">
            <w:pPr>
              <w:pStyle w:val="Tabel-BrdtekstmedafstandptekstGaramond"/>
            </w:pPr>
          </w:p>
          <w:p w:rsidR="00F75008" w:rsidRPr="00B5346F" w:rsidRDefault="00F75008" w:rsidP="00B36231">
            <w:pPr>
              <w:pStyle w:val="Tabel-BrdtekstmedafstandptekstGaramond"/>
            </w:pPr>
            <w:r>
              <w:t>Lovforslaget er ændret således, at b</w:t>
            </w:r>
            <w:r>
              <w:t>e</w:t>
            </w:r>
            <w:r>
              <w:t>stemmelsen ikke finder anvendelse, hvis det måtte fremgå af den relevante trustlovgivning</w:t>
            </w:r>
            <w:r w:rsidR="005004E8">
              <w:t xml:space="preserve"> mv., at det er en gy</w:t>
            </w:r>
            <w:r w:rsidR="005004E8">
              <w:t>l</w:t>
            </w:r>
            <w:r w:rsidR="005004E8">
              <w:t>dighedsbetingelse, at der</w:t>
            </w:r>
            <w:r>
              <w:t xml:space="preserve"> skal være g</w:t>
            </w:r>
            <w:r>
              <w:t>i</w:t>
            </w:r>
            <w:r>
              <w:t xml:space="preserve">vet endeligt og uigenkaldeligt afkald på formuen. </w:t>
            </w:r>
            <w:r w:rsidR="00B36231">
              <w:t>Dette må antages at f</w:t>
            </w:r>
            <w:r w:rsidR="00B36231">
              <w:t>o</w:t>
            </w:r>
            <w:r w:rsidR="00B36231">
              <w:t>rekomme sjældent, idet der er aftal</w:t>
            </w:r>
            <w:r w:rsidR="00B36231">
              <w:t>e</w:t>
            </w:r>
            <w:r w:rsidR="00B36231">
              <w:t>frihed i forbindelse med stiftelse af trusts.</w:t>
            </w:r>
            <w:r>
              <w:t xml:space="preserve"> </w:t>
            </w:r>
          </w:p>
        </w:tc>
      </w:tr>
    </w:tbl>
    <w:p w:rsidR="00600E3E" w:rsidRPr="00F37F63" w:rsidRDefault="00600E3E" w:rsidP="002B3C73">
      <w:pPr>
        <w:keepNext/>
        <w:keepLines/>
      </w:pPr>
    </w:p>
    <w:sectPr w:rsidR="00600E3E" w:rsidRPr="00F37F63" w:rsidSect="00207BEC">
      <w:headerReference w:type="even" r:id="rId9"/>
      <w:headerReference w:type="default" r:id="rId10"/>
      <w:footerReference w:type="even" r:id="rId11"/>
      <w:footerReference w:type="default" r:id="rId12"/>
      <w:headerReference w:type="first" r:id="rId13"/>
      <w:footerReference w:type="first" r:id="rId14"/>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96" w:rsidRDefault="00F73096" w:rsidP="009E4B94">
      <w:pPr>
        <w:spacing w:line="240" w:lineRule="auto"/>
      </w:pPr>
      <w:r>
        <w:separator/>
      </w:r>
    </w:p>
  </w:endnote>
  <w:endnote w:type="continuationSeparator" w:id="0">
    <w:p w:rsidR="00F73096" w:rsidRDefault="00F7309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96" w:rsidRDefault="00F7309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96" w:rsidRPr="00681D83" w:rsidRDefault="00F73096"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096" w:rsidRPr="00094ABD" w:rsidRDefault="00F73096"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62019">
                            <w:rPr>
                              <w:rStyle w:val="Sidetal"/>
                              <w:noProof/>
                            </w:rPr>
                            <w:t>42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62019">
                            <w:rPr>
                              <w:rStyle w:val="Sidetal"/>
                              <w:noProof/>
                            </w:rPr>
                            <w:t>43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F73096" w:rsidRPr="00094ABD" w:rsidRDefault="00F73096"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62019">
                      <w:rPr>
                        <w:rStyle w:val="Sidetal"/>
                        <w:noProof/>
                      </w:rPr>
                      <w:t>42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62019">
                      <w:rPr>
                        <w:rStyle w:val="Sidetal"/>
                        <w:noProof/>
                      </w:rPr>
                      <w:t>43</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96" w:rsidRPr="00094ABD" w:rsidRDefault="00F73096"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96" w:rsidRDefault="00F73096" w:rsidP="009E4B94">
      <w:pPr>
        <w:spacing w:line="240" w:lineRule="auto"/>
      </w:pPr>
      <w:r>
        <w:separator/>
      </w:r>
    </w:p>
  </w:footnote>
  <w:footnote w:type="continuationSeparator" w:id="0">
    <w:p w:rsidR="00F73096" w:rsidRDefault="00F73096"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96" w:rsidRDefault="00F7309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96" w:rsidRDefault="00F7309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96" w:rsidRDefault="00F73096"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defaultTabStop w:val="1304"/>
  <w:autoHyphenation/>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0B7A"/>
    <w:rsid w:val="00004865"/>
    <w:rsid w:val="00006F66"/>
    <w:rsid w:val="0000703F"/>
    <w:rsid w:val="0001534C"/>
    <w:rsid w:val="00017063"/>
    <w:rsid w:val="00017586"/>
    <w:rsid w:val="00023746"/>
    <w:rsid w:val="0002656E"/>
    <w:rsid w:val="00030F87"/>
    <w:rsid w:val="00034B33"/>
    <w:rsid w:val="000423FF"/>
    <w:rsid w:val="00045E50"/>
    <w:rsid w:val="000615A3"/>
    <w:rsid w:val="00062109"/>
    <w:rsid w:val="00066A26"/>
    <w:rsid w:val="000731C3"/>
    <w:rsid w:val="00081169"/>
    <w:rsid w:val="00084369"/>
    <w:rsid w:val="00087EB8"/>
    <w:rsid w:val="00094ABD"/>
    <w:rsid w:val="000A1518"/>
    <w:rsid w:val="000A304B"/>
    <w:rsid w:val="000A3C7B"/>
    <w:rsid w:val="000A42E7"/>
    <w:rsid w:val="000A7454"/>
    <w:rsid w:val="000B182F"/>
    <w:rsid w:val="000B1BB7"/>
    <w:rsid w:val="000B2946"/>
    <w:rsid w:val="000C4289"/>
    <w:rsid w:val="000C6781"/>
    <w:rsid w:val="000D09C8"/>
    <w:rsid w:val="000E3E1C"/>
    <w:rsid w:val="000E4B19"/>
    <w:rsid w:val="000F4D15"/>
    <w:rsid w:val="000F6BFD"/>
    <w:rsid w:val="00106106"/>
    <w:rsid w:val="001071BE"/>
    <w:rsid w:val="0011681B"/>
    <w:rsid w:val="00121584"/>
    <w:rsid w:val="001278A8"/>
    <w:rsid w:val="00127940"/>
    <w:rsid w:val="00131F5D"/>
    <w:rsid w:val="0013244F"/>
    <w:rsid w:val="00153F40"/>
    <w:rsid w:val="00161AF0"/>
    <w:rsid w:val="00165D2F"/>
    <w:rsid w:val="00174CDC"/>
    <w:rsid w:val="00182651"/>
    <w:rsid w:val="00182C15"/>
    <w:rsid w:val="00182FDC"/>
    <w:rsid w:val="001859C9"/>
    <w:rsid w:val="001863A7"/>
    <w:rsid w:val="00190D7E"/>
    <w:rsid w:val="00194A00"/>
    <w:rsid w:val="00195EC8"/>
    <w:rsid w:val="001A1477"/>
    <w:rsid w:val="001A2678"/>
    <w:rsid w:val="001B2E16"/>
    <w:rsid w:val="001B52CF"/>
    <w:rsid w:val="001B6128"/>
    <w:rsid w:val="001C7304"/>
    <w:rsid w:val="001D0093"/>
    <w:rsid w:val="001D6BD9"/>
    <w:rsid w:val="001E3985"/>
    <w:rsid w:val="001E79D1"/>
    <w:rsid w:val="001F374B"/>
    <w:rsid w:val="002018AE"/>
    <w:rsid w:val="002022A6"/>
    <w:rsid w:val="00203DE6"/>
    <w:rsid w:val="00207BEC"/>
    <w:rsid w:val="0021270D"/>
    <w:rsid w:val="00223909"/>
    <w:rsid w:val="002252BA"/>
    <w:rsid w:val="0022582F"/>
    <w:rsid w:val="002301C3"/>
    <w:rsid w:val="00244D70"/>
    <w:rsid w:val="0024673C"/>
    <w:rsid w:val="002531BF"/>
    <w:rsid w:val="002533DC"/>
    <w:rsid w:val="0026468A"/>
    <w:rsid w:val="00265D43"/>
    <w:rsid w:val="00267514"/>
    <w:rsid w:val="00277F16"/>
    <w:rsid w:val="00280FC1"/>
    <w:rsid w:val="002829B1"/>
    <w:rsid w:val="00286F79"/>
    <w:rsid w:val="002870F4"/>
    <w:rsid w:val="00287C6F"/>
    <w:rsid w:val="00290603"/>
    <w:rsid w:val="00296B9B"/>
    <w:rsid w:val="002B0691"/>
    <w:rsid w:val="002B3C73"/>
    <w:rsid w:val="002C1C8E"/>
    <w:rsid w:val="002C258E"/>
    <w:rsid w:val="002C5020"/>
    <w:rsid w:val="002E233E"/>
    <w:rsid w:val="002E30A1"/>
    <w:rsid w:val="002E3537"/>
    <w:rsid w:val="002E6B15"/>
    <w:rsid w:val="002E74A4"/>
    <w:rsid w:val="00302887"/>
    <w:rsid w:val="003075A8"/>
    <w:rsid w:val="00312662"/>
    <w:rsid w:val="0033033A"/>
    <w:rsid w:val="00333AA9"/>
    <w:rsid w:val="00337E3C"/>
    <w:rsid w:val="0034146E"/>
    <w:rsid w:val="00344B02"/>
    <w:rsid w:val="00351C70"/>
    <w:rsid w:val="00357C00"/>
    <w:rsid w:val="00365201"/>
    <w:rsid w:val="00383E7E"/>
    <w:rsid w:val="0039082E"/>
    <w:rsid w:val="003B0A6F"/>
    <w:rsid w:val="003B1577"/>
    <w:rsid w:val="003B35B0"/>
    <w:rsid w:val="003C4F9F"/>
    <w:rsid w:val="003C60F1"/>
    <w:rsid w:val="003D2505"/>
    <w:rsid w:val="003E09F5"/>
    <w:rsid w:val="003F52AC"/>
    <w:rsid w:val="00404BF7"/>
    <w:rsid w:val="004141C6"/>
    <w:rsid w:val="00415896"/>
    <w:rsid w:val="00416196"/>
    <w:rsid w:val="004179FF"/>
    <w:rsid w:val="00424709"/>
    <w:rsid w:val="00425F90"/>
    <w:rsid w:val="00427323"/>
    <w:rsid w:val="00445BEA"/>
    <w:rsid w:val="00446687"/>
    <w:rsid w:val="0045077F"/>
    <w:rsid w:val="0045136B"/>
    <w:rsid w:val="004537D0"/>
    <w:rsid w:val="00455537"/>
    <w:rsid w:val="00466136"/>
    <w:rsid w:val="004663A1"/>
    <w:rsid w:val="004678BF"/>
    <w:rsid w:val="00470761"/>
    <w:rsid w:val="0047245C"/>
    <w:rsid w:val="00475BB7"/>
    <w:rsid w:val="00484640"/>
    <w:rsid w:val="00491CB5"/>
    <w:rsid w:val="00491D5C"/>
    <w:rsid w:val="00494F29"/>
    <w:rsid w:val="004A1D91"/>
    <w:rsid w:val="004A339D"/>
    <w:rsid w:val="004A5600"/>
    <w:rsid w:val="004A6061"/>
    <w:rsid w:val="004B37E1"/>
    <w:rsid w:val="004B5150"/>
    <w:rsid w:val="004B745E"/>
    <w:rsid w:val="004C01B2"/>
    <w:rsid w:val="004D0057"/>
    <w:rsid w:val="004D0A20"/>
    <w:rsid w:val="004D2BD7"/>
    <w:rsid w:val="004D46CB"/>
    <w:rsid w:val="004E5FA3"/>
    <w:rsid w:val="004E6C66"/>
    <w:rsid w:val="005004E8"/>
    <w:rsid w:val="00503680"/>
    <w:rsid w:val="00503D38"/>
    <w:rsid w:val="00504882"/>
    <w:rsid w:val="00514CB3"/>
    <w:rsid w:val="0052182F"/>
    <w:rsid w:val="00522DA7"/>
    <w:rsid w:val="00523D8E"/>
    <w:rsid w:val="00525897"/>
    <w:rsid w:val="00526EB5"/>
    <w:rsid w:val="00530A82"/>
    <w:rsid w:val="00535188"/>
    <w:rsid w:val="0053662E"/>
    <w:rsid w:val="00546077"/>
    <w:rsid w:val="005471E8"/>
    <w:rsid w:val="00550514"/>
    <w:rsid w:val="00560903"/>
    <w:rsid w:val="00562DFF"/>
    <w:rsid w:val="00563829"/>
    <w:rsid w:val="00576E30"/>
    <w:rsid w:val="005778B2"/>
    <w:rsid w:val="005A28D4"/>
    <w:rsid w:val="005A32E9"/>
    <w:rsid w:val="005B4028"/>
    <w:rsid w:val="005C5F97"/>
    <w:rsid w:val="005D6BCC"/>
    <w:rsid w:val="005E56D6"/>
    <w:rsid w:val="005F1580"/>
    <w:rsid w:val="005F3493"/>
    <w:rsid w:val="005F3ED8"/>
    <w:rsid w:val="005F536D"/>
    <w:rsid w:val="00600E3E"/>
    <w:rsid w:val="006105E3"/>
    <w:rsid w:val="00617D12"/>
    <w:rsid w:val="006207CB"/>
    <w:rsid w:val="00622C50"/>
    <w:rsid w:val="00622E80"/>
    <w:rsid w:val="0062476E"/>
    <w:rsid w:val="006320A6"/>
    <w:rsid w:val="00634A1A"/>
    <w:rsid w:val="00637CAF"/>
    <w:rsid w:val="00642CBC"/>
    <w:rsid w:val="0065507E"/>
    <w:rsid w:val="00655B49"/>
    <w:rsid w:val="00660317"/>
    <w:rsid w:val="006623E7"/>
    <w:rsid w:val="006645B7"/>
    <w:rsid w:val="00664B51"/>
    <w:rsid w:val="006651D4"/>
    <w:rsid w:val="0067143B"/>
    <w:rsid w:val="0067386E"/>
    <w:rsid w:val="00676DDA"/>
    <w:rsid w:val="00681D83"/>
    <w:rsid w:val="00683E96"/>
    <w:rsid w:val="006900C2"/>
    <w:rsid w:val="006940AA"/>
    <w:rsid w:val="00694421"/>
    <w:rsid w:val="006A63B6"/>
    <w:rsid w:val="006A750C"/>
    <w:rsid w:val="006B0F61"/>
    <w:rsid w:val="006B174A"/>
    <w:rsid w:val="006B2CE2"/>
    <w:rsid w:val="006B30A9"/>
    <w:rsid w:val="006B3B29"/>
    <w:rsid w:val="006B433E"/>
    <w:rsid w:val="006B7EEA"/>
    <w:rsid w:val="006C0174"/>
    <w:rsid w:val="006D24FE"/>
    <w:rsid w:val="006F6849"/>
    <w:rsid w:val="0070267E"/>
    <w:rsid w:val="00703B3F"/>
    <w:rsid w:val="00706E32"/>
    <w:rsid w:val="00707273"/>
    <w:rsid w:val="00707B07"/>
    <w:rsid w:val="00710985"/>
    <w:rsid w:val="00713F98"/>
    <w:rsid w:val="007154F3"/>
    <w:rsid w:val="00726ED4"/>
    <w:rsid w:val="007327A9"/>
    <w:rsid w:val="0074766F"/>
    <w:rsid w:val="007546AF"/>
    <w:rsid w:val="00760D45"/>
    <w:rsid w:val="00765934"/>
    <w:rsid w:val="00766C0A"/>
    <w:rsid w:val="00770410"/>
    <w:rsid w:val="00773919"/>
    <w:rsid w:val="00775409"/>
    <w:rsid w:val="00786FCF"/>
    <w:rsid w:val="0078774E"/>
    <w:rsid w:val="00793471"/>
    <w:rsid w:val="007A1B96"/>
    <w:rsid w:val="007A1C8C"/>
    <w:rsid w:val="007A2D34"/>
    <w:rsid w:val="007C489C"/>
    <w:rsid w:val="007C4D50"/>
    <w:rsid w:val="007D0E04"/>
    <w:rsid w:val="007D2B7E"/>
    <w:rsid w:val="007E0E19"/>
    <w:rsid w:val="007E1867"/>
    <w:rsid w:val="007E2CF5"/>
    <w:rsid w:val="007E373C"/>
    <w:rsid w:val="007F1208"/>
    <w:rsid w:val="007F4BAF"/>
    <w:rsid w:val="00801F34"/>
    <w:rsid w:val="00807AE9"/>
    <w:rsid w:val="00815F28"/>
    <w:rsid w:val="00823D78"/>
    <w:rsid w:val="00824115"/>
    <w:rsid w:val="0083711E"/>
    <w:rsid w:val="008406DD"/>
    <w:rsid w:val="008452B0"/>
    <w:rsid w:val="0085012B"/>
    <w:rsid w:val="008531FB"/>
    <w:rsid w:val="008542D3"/>
    <w:rsid w:val="00854B0D"/>
    <w:rsid w:val="00864D45"/>
    <w:rsid w:val="008662D3"/>
    <w:rsid w:val="00890B52"/>
    <w:rsid w:val="00892D08"/>
    <w:rsid w:val="00893791"/>
    <w:rsid w:val="008A1AD6"/>
    <w:rsid w:val="008A67EF"/>
    <w:rsid w:val="008B5B59"/>
    <w:rsid w:val="008B7929"/>
    <w:rsid w:val="008B797F"/>
    <w:rsid w:val="008D000A"/>
    <w:rsid w:val="008D2509"/>
    <w:rsid w:val="008D2C3E"/>
    <w:rsid w:val="008D5A02"/>
    <w:rsid w:val="008E2ECE"/>
    <w:rsid w:val="008E4C26"/>
    <w:rsid w:val="008E5A6D"/>
    <w:rsid w:val="008F0165"/>
    <w:rsid w:val="008F32DF"/>
    <w:rsid w:val="008F4D20"/>
    <w:rsid w:val="008F5726"/>
    <w:rsid w:val="00902C3D"/>
    <w:rsid w:val="00904BAF"/>
    <w:rsid w:val="00905905"/>
    <w:rsid w:val="00907D11"/>
    <w:rsid w:val="00912029"/>
    <w:rsid w:val="0092171B"/>
    <w:rsid w:val="009239F1"/>
    <w:rsid w:val="00947BA0"/>
    <w:rsid w:val="00951B25"/>
    <w:rsid w:val="009540E3"/>
    <w:rsid w:val="00961B28"/>
    <w:rsid w:val="00967833"/>
    <w:rsid w:val="009678F1"/>
    <w:rsid w:val="009712F5"/>
    <w:rsid w:val="00971687"/>
    <w:rsid w:val="009729F2"/>
    <w:rsid w:val="009731DE"/>
    <w:rsid w:val="00976719"/>
    <w:rsid w:val="00983B74"/>
    <w:rsid w:val="00986D8F"/>
    <w:rsid w:val="00990263"/>
    <w:rsid w:val="009922E3"/>
    <w:rsid w:val="009A2571"/>
    <w:rsid w:val="009A4CCC"/>
    <w:rsid w:val="009A72B8"/>
    <w:rsid w:val="009A7F61"/>
    <w:rsid w:val="009B7816"/>
    <w:rsid w:val="009C1470"/>
    <w:rsid w:val="009C35B7"/>
    <w:rsid w:val="009D200D"/>
    <w:rsid w:val="009E4B94"/>
    <w:rsid w:val="009F18F2"/>
    <w:rsid w:val="009F1C24"/>
    <w:rsid w:val="009F3560"/>
    <w:rsid w:val="009F4FF8"/>
    <w:rsid w:val="009F53D4"/>
    <w:rsid w:val="00A1353B"/>
    <w:rsid w:val="00A17C2E"/>
    <w:rsid w:val="00A239DF"/>
    <w:rsid w:val="00A262CF"/>
    <w:rsid w:val="00A30808"/>
    <w:rsid w:val="00A40AA2"/>
    <w:rsid w:val="00A57368"/>
    <w:rsid w:val="00A727F0"/>
    <w:rsid w:val="00A86BFC"/>
    <w:rsid w:val="00AB013B"/>
    <w:rsid w:val="00AB149E"/>
    <w:rsid w:val="00AB16F7"/>
    <w:rsid w:val="00AB29A0"/>
    <w:rsid w:val="00AB3463"/>
    <w:rsid w:val="00AB5B85"/>
    <w:rsid w:val="00AC374A"/>
    <w:rsid w:val="00AC673D"/>
    <w:rsid w:val="00AD043D"/>
    <w:rsid w:val="00AD0C8A"/>
    <w:rsid w:val="00AD4AF0"/>
    <w:rsid w:val="00AE1404"/>
    <w:rsid w:val="00AF1D02"/>
    <w:rsid w:val="00B00D92"/>
    <w:rsid w:val="00B01E63"/>
    <w:rsid w:val="00B10B4F"/>
    <w:rsid w:val="00B24315"/>
    <w:rsid w:val="00B31CF7"/>
    <w:rsid w:val="00B3548C"/>
    <w:rsid w:val="00B36231"/>
    <w:rsid w:val="00B36896"/>
    <w:rsid w:val="00B421B6"/>
    <w:rsid w:val="00B430B4"/>
    <w:rsid w:val="00B5082D"/>
    <w:rsid w:val="00B5346F"/>
    <w:rsid w:val="00B63EED"/>
    <w:rsid w:val="00B64C73"/>
    <w:rsid w:val="00B6504E"/>
    <w:rsid w:val="00B67793"/>
    <w:rsid w:val="00B738B8"/>
    <w:rsid w:val="00B80DE6"/>
    <w:rsid w:val="00B8476C"/>
    <w:rsid w:val="00B852D7"/>
    <w:rsid w:val="00B91C40"/>
    <w:rsid w:val="00B93951"/>
    <w:rsid w:val="00B9508F"/>
    <w:rsid w:val="00B96502"/>
    <w:rsid w:val="00B96937"/>
    <w:rsid w:val="00B96D2A"/>
    <w:rsid w:val="00BB1E99"/>
    <w:rsid w:val="00BB24F3"/>
    <w:rsid w:val="00BB4D98"/>
    <w:rsid w:val="00BC22A9"/>
    <w:rsid w:val="00BC24ED"/>
    <w:rsid w:val="00BC590D"/>
    <w:rsid w:val="00BC7BD3"/>
    <w:rsid w:val="00BD5105"/>
    <w:rsid w:val="00BD6F46"/>
    <w:rsid w:val="00BE0380"/>
    <w:rsid w:val="00BE2B84"/>
    <w:rsid w:val="00BE2F53"/>
    <w:rsid w:val="00BE4368"/>
    <w:rsid w:val="00BE5ADE"/>
    <w:rsid w:val="00C046EF"/>
    <w:rsid w:val="00C05FBA"/>
    <w:rsid w:val="00C1649A"/>
    <w:rsid w:val="00C173F9"/>
    <w:rsid w:val="00C2169F"/>
    <w:rsid w:val="00C217E3"/>
    <w:rsid w:val="00C219C4"/>
    <w:rsid w:val="00C236D4"/>
    <w:rsid w:val="00C24EAB"/>
    <w:rsid w:val="00C2782C"/>
    <w:rsid w:val="00C310A8"/>
    <w:rsid w:val="00C31791"/>
    <w:rsid w:val="00C4275C"/>
    <w:rsid w:val="00C45EEB"/>
    <w:rsid w:val="00C51167"/>
    <w:rsid w:val="00C52C2E"/>
    <w:rsid w:val="00C605DF"/>
    <w:rsid w:val="00C62DBD"/>
    <w:rsid w:val="00C635C9"/>
    <w:rsid w:val="00C71C8E"/>
    <w:rsid w:val="00C86D85"/>
    <w:rsid w:val="00C91AD4"/>
    <w:rsid w:val="00CA1A9F"/>
    <w:rsid w:val="00CA61D4"/>
    <w:rsid w:val="00CB33DF"/>
    <w:rsid w:val="00CB4BCC"/>
    <w:rsid w:val="00CC0BE2"/>
    <w:rsid w:val="00CC2152"/>
    <w:rsid w:val="00CC342E"/>
    <w:rsid w:val="00CC4C98"/>
    <w:rsid w:val="00CC6322"/>
    <w:rsid w:val="00CD3B49"/>
    <w:rsid w:val="00CD5714"/>
    <w:rsid w:val="00CE262C"/>
    <w:rsid w:val="00CE37DA"/>
    <w:rsid w:val="00CE5090"/>
    <w:rsid w:val="00CE5C53"/>
    <w:rsid w:val="00CF3297"/>
    <w:rsid w:val="00CF3DC4"/>
    <w:rsid w:val="00CF73BA"/>
    <w:rsid w:val="00D01D53"/>
    <w:rsid w:val="00D0360E"/>
    <w:rsid w:val="00D07ED4"/>
    <w:rsid w:val="00D13596"/>
    <w:rsid w:val="00D17306"/>
    <w:rsid w:val="00D2148B"/>
    <w:rsid w:val="00D243BB"/>
    <w:rsid w:val="00D25933"/>
    <w:rsid w:val="00D334D6"/>
    <w:rsid w:val="00D3786F"/>
    <w:rsid w:val="00D42FEE"/>
    <w:rsid w:val="00D4436D"/>
    <w:rsid w:val="00D455FC"/>
    <w:rsid w:val="00D46C75"/>
    <w:rsid w:val="00D47FBD"/>
    <w:rsid w:val="00D64456"/>
    <w:rsid w:val="00D64A79"/>
    <w:rsid w:val="00D66542"/>
    <w:rsid w:val="00D66E2C"/>
    <w:rsid w:val="00D67761"/>
    <w:rsid w:val="00D7331B"/>
    <w:rsid w:val="00D76E37"/>
    <w:rsid w:val="00D9163A"/>
    <w:rsid w:val="00D923E2"/>
    <w:rsid w:val="00D96141"/>
    <w:rsid w:val="00DA32B1"/>
    <w:rsid w:val="00DB17D4"/>
    <w:rsid w:val="00DB31AF"/>
    <w:rsid w:val="00DB6E2D"/>
    <w:rsid w:val="00DB7126"/>
    <w:rsid w:val="00DB743D"/>
    <w:rsid w:val="00DB7A0F"/>
    <w:rsid w:val="00DC0A7E"/>
    <w:rsid w:val="00DC2AB9"/>
    <w:rsid w:val="00DC38FB"/>
    <w:rsid w:val="00DC63A6"/>
    <w:rsid w:val="00DD12BD"/>
    <w:rsid w:val="00DD2AEE"/>
    <w:rsid w:val="00DD4A74"/>
    <w:rsid w:val="00DE2B28"/>
    <w:rsid w:val="00DE3F58"/>
    <w:rsid w:val="00DE4F79"/>
    <w:rsid w:val="00DF0E45"/>
    <w:rsid w:val="00DF207D"/>
    <w:rsid w:val="00E035B4"/>
    <w:rsid w:val="00E05FF2"/>
    <w:rsid w:val="00E13618"/>
    <w:rsid w:val="00E13E84"/>
    <w:rsid w:val="00E13F68"/>
    <w:rsid w:val="00E1438D"/>
    <w:rsid w:val="00E15768"/>
    <w:rsid w:val="00E26493"/>
    <w:rsid w:val="00E34F9D"/>
    <w:rsid w:val="00E370C3"/>
    <w:rsid w:val="00E434D1"/>
    <w:rsid w:val="00E4692C"/>
    <w:rsid w:val="00E47932"/>
    <w:rsid w:val="00E52B7B"/>
    <w:rsid w:val="00E61080"/>
    <w:rsid w:val="00E62019"/>
    <w:rsid w:val="00E63FCE"/>
    <w:rsid w:val="00E64A82"/>
    <w:rsid w:val="00E66240"/>
    <w:rsid w:val="00E70286"/>
    <w:rsid w:val="00E75ED1"/>
    <w:rsid w:val="00EA5717"/>
    <w:rsid w:val="00EA5F20"/>
    <w:rsid w:val="00EB603A"/>
    <w:rsid w:val="00EC2318"/>
    <w:rsid w:val="00ED134C"/>
    <w:rsid w:val="00ED5278"/>
    <w:rsid w:val="00ED7096"/>
    <w:rsid w:val="00ED747B"/>
    <w:rsid w:val="00EE3693"/>
    <w:rsid w:val="00EE4C34"/>
    <w:rsid w:val="00EE7F86"/>
    <w:rsid w:val="00EF0F9B"/>
    <w:rsid w:val="00EF55B3"/>
    <w:rsid w:val="00F002D7"/>
    <w:rsid w:val="00F05EEC"/>
    <w:rsid w:val="00F23AA3"/>
    <w:rsid w:val="00F26552"/>
    <w:rsid w:val="00F2770A"/>
    <w:rsid w:val="00F3302C"/>
    <w:rsid w:val="00F34E84"/>
    <w:rsid w:val="00F363B1"/>
    <w:rsid w:val="00F37F63"/>
    <w:rsid w:val="00F44639"/>
    <w:rsid w:val="00F45445"/>
    <w:rsid w:val="00F540A8"/>
    <w:rsid w:val="00F57A95"/>
    <w:rsid w:val="00F6027B"/>
    <w:rsid w:val="00F63834"/>
    <w:rsid w:val="00F73096"/>
    <w:rsid w:val="00F74267"/>
    <w:rsid w:val="00F75008"/>
    <w:rsid w:val="00F77C97"/>
    <w:rsid w:val="00F83850"/>
    <w:rsid w:val="00F93558"/>
    <w:rsid w:val="00F94967"/>
    <w:rsid w:val="00FA6475"/>
    <w:rsid w:val="00FB0E82"/>
    <w:rsid w:val="00FB1FE9"/>
    <w:rsid w:val="00FC1142"/>
    <w:rsid w:val="00FC4E3D"/>
    <w:rsid w:val="00FC511D"/>
    <w:rsid w:val="00FC5EFF"/>
    <w:rsid w:val="00FC6B3E"/>
    <w:rsid w:val="00FC7F59"/>
    <w:rsid w:val="00FD5950"/>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176">
      <w:bodyDiv w:val="1"/>
      <w:marLeft w:val="0"/>
      <w:marRight w:val="0"/>
      <w:marTop w:val="0"/>
      <w:marBottom w:val="0"/>
      <w:divBdr>
        <w:top w:val="none" w:sz="0" w:space="0" w:color="auto"/>
        <w:left w:val="none" w:sz="0" w:space="0" w:color="auto"/>
        <w:bottom w:val="none" w:sz="0" w:space="0" w:color="auto"/>
        <w:right w:val="none" w:sz="0" w:space="0" w:color="auto"/>
      </w:divBdr>
    </w:div>
    <w:div w:id="88087200">
      <w:bodyDiv w:val="1"/>
      <w:marLeft w:val="0"/>
      <w:marRight w:val="0"/>
      <w:marTop w:val="0"/>
      <w:marBottom w:val="0"/>
      <w:divBdr>
        <w:top w:val="none" w:sz="0" w:space="0" w:color="auto"/>
        <w:left w:val="none" w:sz="0" w:space="0" w:color="auto"/>
        <w:bottom w:val="none" w:sz="0" w:space="0" w:color="auto"/>
        <w:right w:val="none" w:sz="0" w:space="0" w:color="auto"/>
      </w:divBdr>
    </w:div>
    <w:div w:id="109983367">
      <w:bodyDiv w:val="1"/>
      <w:marLeft w:val="0"/>
      <w:marRight w:val="0"/>
      <w:marTop w:val="0"/>
      <w:marBottom w:val="0"/>
      <w:divBdr>
        <w:top w:val="none" w:sz="0" w:space="0" w:color="auto"/>
        <w:left w:val="none" w:sz="0" w:space="0" w:color="auto"/>
        <w:bottom w:val="none" w:sz="0" w:space="0" w:color="auto"/>
        <w:right w:val="none" w:sz="0" w:space="0" w:color="auto"/>
      </w:divBdr>
    </w:div>
    <w:div w:id="257836317">
      <w:bodyDiv w:val="1"/>
      <w:marLeft w:val="0"/>
      <w:marRight w:val="0"/>
      <w:marTop w:val="0"/>
      <w:marBottom w:val="0"/>
      <w:divBdr>
        <w:top w:val="none" w:sz="0" w:space="0" w:color="auto"/>
        <w:left w:val="none" w:sz="0" w:space="0" w:color="auto"/>
        <w:bottom w:val="none" w:sz="0" w:space="0" w:color="auto"/>
        <w:right w:val="none" w:sz="0" w:space="0" w:color="auto"/>
      </w:divBdr>
    </w:div>
    <w:div w:id="364646038">
      <w:bodyDiv w:val="1"/>
      <w:marLeft w:val="0"/>
      <w:marRight w:val="0"/>
      <w:marTop w:val="0"/>
      <w:marBottom w:val="0"/>
      <w:divBdr>
        <w:top w:val="none" w:sz="0" w:space="0" w:color="auto"/>
        <w:left w:val="none" w:sz="0" w:space="0" w:color="auto"/>
        <w:bottom w:val="none" w:sz="0" w:space="0" w:color="auto"/>
        <w:right w:val="none" w:sz="0" w:space="0" w:color="auto"/>
      </w:divBdr>
    </w:div>
    <w:div w:id="508955436">
      <w:bodyDiv w:val="1"/>
      <w:marLeft w:val="0"/>
      <w:marRight w:val="0"/>
      <w:marTop w:val="0"/>
      <w:marBottom w:val="0"/>
      <w:divBdr>
        <w:top w:val="none" w:sz="0" w:space="0" w:color="auto"/>
        <w:left w:val="none" w:sz="0" w:space="0" w:color="auto"/>
        <w:bottom w:val="none" w:sz="0" w:space="0" w:color="auto"/>
        <w:right w:val="none" w:sz="0" w:space="0" w:color="auto"/>
      </w:divBdr>
    </w:div>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653141481">
      <w:bodyDiv w:val="1"/>
      <w:marLeft w:val="0"/>
      <w:marRight w:val="0"/>
      <w:marTop w:val="0"/>
      <w:marBottom w:val="0"/>
      <w:divBdr>
        <w:top w:val="none" w:sz="0" w:space="0" w:color="auto"/>
        <w:left w:val="none" w:sz="0" w:space="0" w:color="auto"/>
        <w:bottom w:val="none" w:sz="0" w:space="0" w:color="auto"/>
        <w:right w:val="none" w:sz="0" w:space="0" w:color="auto"/>
      </w:divBdr>
    </w:div>
    <w:div w:id="656343544">
      <w:bodyDiv w:val="1"/>
      <w:marLeft w:val="0"/>
      <w:marRight w:val="0"/>
      <w:marTop w:val="0"/>
      <w:marBottom w:val="0"/>
      <w:divBdr>
        <w:top w:val="none" w:sz="0" w:space="0" w:color="auto"/>
        <w:left w:val="none" w:sz="0" w:space="0" w:color="auto"/>
        <w:bottom w:val="none" w:sz="0" w:space="0" w:color="auto"/>
        <w:right w:val="none" w:sz="0" w:space="0" w:color="auto"/>
      </w:divBdr>
    </w:div>
    <w:div w:id="901404207">
      <w:bodyDiv w:val="1"/>
      <w:marLeft w:val="0"/>
      <w:marRight w:val="0"/>
      <w:marTop w:val="0"/>
      <w:marBottom w:val="0"/>
      <w:divBdr>
        <w:top w:val="none" w:sz="0" w:space="0" w:color="auto"/>
        <w:left w:val="none" w:sz="0" w:space="0" w:color="auto"/>
        <w:bottom w:val="none" w:sz="0" w:space="0" w:color="auto"/>
        <w:right w:val="none" w:sz="0" w:space="0" w:color="auto"/>
      </w:divBdr>
    </w:div>
    <w:div w:id="971596762">
      <w:bodyDiv w:val="1"/>
      <w:marLeft w:val="0"/>
      <w:marRight w:val="0"/>
      <w:marTop w:val="0"/>
      <w:marBottom w:val="0"/>
      <w:divBdr>
        <w:top w:val="none" w:sz="0" w:space="0" w:color="auto"/>
        <w:left w:val="none" w:sz="0" w:space="0" w:color="auto"/>
        <w:bottom w:val="none" w:sz="0" w:space="0" w:color="auto"/>
        <w:right w:val="none" w:sz="0" w:space="0" w:color="auto"/>
      </w:divBdr>
    </w:div>
    <w:div w:id="1033729261">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46833180">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 w:id="1484469374">
      <w:bodyDiv w:val="1"/>
      <w:marLeft w:val="0"/>
      <w:marRight w:val="0"/>
      <w:marTop w:val="0"/>
      <w:marBottom w:val="0"/>
      <w:divBdr>
        <w:top w:val="none" w:sz="0" w:space="0" w:color="auto"/>
        <w:left w:val="none" w:sz="0" w:space="0" w:color="auto"/>
        <w:bottom w:val="none" w:sz="0" w:space="0" w:color="auto"/>
        <w:right w:val="none" w:sz="0" w:space="0" w:color="auto"/>
      </w:divBdr>
    </w:div>
    <w:div w:id="1538620800">
      <w:bodyDiv w:val="1"/>
      <w:marLeft w:val="0"/>
      <w:marRight w:val="0"/>
      <w:marTop w:val="0"/>
      <w:marBottom w:val="0"/>
      <w:divBdr>
        <w:top w:val="none" w:sz="0" w:space="0" w:color="auto"/>
        <w:left w:val="none" w:sz="0" w:space="0" w:color="auto"/>
        <w:bottom w:val="none" w:sz="0" w:space="0" w:color="auto"/>
        <w:right w:val="none" w:sz="0" w:space="0" w:color="auto"/>
      </w:divBdr>
    </w:div>
    <w:div w:id="1599948111">
      <w:bodyDiv w:val="1"/>
      <w:marLeft w:val="0"/>
      <w:marRight w:val="0"/>
      <w:marTop w:val="0"/>
      <w:marBottom w:val="0"/>
      <w:divBdr>
        <w:top w:val="none" w:sz="0" w:space="0" w:color="auto"/>
        <w:left w:val="none" w:sz="0" w:space="0" w:color="auto"/>
        <w:bottom w:val="none" w:sz="0" w:space="0" w:color="auto"/>
        <w:right w:val="none" w:sz="0" w:space="0" w:color="auto"/>
      </w:divBdr>
    </w:div>
    <w:div w:id="1731344937">
      <w:bodyDiv w:val="1"/>
      <w:marLeft w:val="0"/>
      <w:marRight w:val="0"/>
      <w:marTop w:val="0"/>
      <w:marBottom w:val="0"/>
      <w:divBdr>
        <w:top w:val="none" w:sz="0" w:space="0" w:color="auto"/>
        <w:left w:val="none" w:sz="0" w:space="0" w:color="auto"/>
        <w:bottom w:val="none" w:sz="0" w:space="0" w:color="auto"/>
        <w:right w:val="none" w:sz="0" w:space="0" w:color="auto"/>
      </w:divBdr>
    </w:div>
    <w:div w:id="1813407856">
      <w:bodyDiv w:val="1"/>
      <w:marLeft w:val="0"/>
      <w:marRight w:val="0"/>
      <w:marTop w:val="0"/>
      <w:marBottom w:val="0"/>
      <w:divBdr>
        <w:top w:val="none" w:sz="0" w:space="0" w:color="auto"/>
        <w:left w:val="none" w:sz="0" w:space="0" w:color="auto"/>
        <w:bottom w:val="none" w:sz="0" w:space="0" w:color="auto"/>
        <w:right w:val="none" w:sz="0" w:space="0" w:color="auto"/>
      </w:divBdr>
    </w:div>
    <w:div w:id="1839927526">
      <w:bodyDiv w:val="1"/>
      <w:marLeft w:val="0"/>
      <w:marRight w:val="0"/>
      <w:marTop w:val="0"/>
      <w:marBottom w:val="0"/>
      <w:divBdr>
        <w:top w:val="none" w:sz="0" w:space="0" w:color="auto"/>
        <w:left w:val="none" w:sz="0" w:space="0" w:color="auto"/>
        <w:bottom w:val="none" w:sz="0" w:space="0" w:color="auto"/>
        <w:right w:val="none" w:sz="0" w:space="0" w:color="auto"/>
      </w:divBdr>
    </w:div>
    <w:div w:id="1938445537">
      <w:bodyDiv w:val="1"/>
      <w:marLeft w:val="0"/>
      <w:marRight w:val="0"/>
      <w:marTop w:val="0"/>
      <w:marBottom w:val="0"/>
      <w:divBdr>
        <w:top w:val="none" w:sz="0" w:space="0" w:color="auto"/>
        <w:left w:val="none" w:sz="0" w:space="0" w:color="auto"/>
        <w:bottom w:val="none" w:sz="0" w:space="0" w:color="auto"/>
        <w:right w:val="none" w:sz="0" w:space="0" w:color="auto"/>
      </w:divBdr>
    </w:div>
    <w:div w:id="1987932603">
      <w:bodyDiv w:val="1"/>
      <w:marLeft w:val="0"/>
      <w:marRight w:val="0"/>
      <w:marTop w:val="0"/>
      <w:marBottom w:val="0"/>
      <w:divBdr>
        <w:top w:val="none" w:sz="0" w:space="0" w:color="auto"/>
        <w:left w:val="none" w:sz="0" w:space="0" w:color="auto"/>
        <w:bottom w:val="none" w:sz="0" w:space="0" w:color="auto"/>
        <w:right w:val="none" w:sz="0" w:space="0" w:color="auto"/>
      </w:divBdr>
    </w:div>
    <w:div w:id="2013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036C7"/>
    <w:rsid w:val="00027552"/>
    <w:rsid w:val="000E2E27"/>
    <w:rsid w:val="00130F60"/>
    <w:rsid w:val="00146AA5"/>
    <w:rsid w:val="001674C4"/>
    <w:rsid w:val="001A4214"/>
    <w:rsid w:val="001B697B"/>
    <w:rsid w:val="001C729D"/>
    <w:rsid w:val="001F06EB"/>
    <w:rsid w:val="002226E3"/>
    <w:rsid w:val="00247B37"/>
    <w:rsid w:val="002B55D2"/>
    <w:rsid w:val="003424A8"/>
    <w:rsid w:val="003531BE"/>
    <w:rsid w:val="00491717"/>
    <w:rsid w:val="00545008"/>
    <w:rsid w:val="006133D3"/>
    <w:rsid w:val="006470A1"/>
    <w:rsid w:val="006D2201"/>
    <w:rsid w:val="006D60AB"/>
    <w:rsid w:val="006E3707"/>
    <w:rsid w:val="00730BAF"/>
    <w:rsid w:val="007564C8"/>
    <w:rsid w:val="007752DF"/>
    <w:rsid w:val="00783B45"/>
    <w:rsid w:val="00795A2C"/>
    <w:rsid w:val="007A556B"/>
    <w:rsid w:val="007B5A3D"/>
    <w:rsid w:val="0086419B"/>
    <w:rsid w:val="008C794A"/>
    <w:rsid w:val="009C4AAF"/>
    <w:rsid w:val="00A940FC"/>
    <w:rsid w:val="00B53239"/>
    <w:rsid w:val="00B82551"/>
    <w:rsid w:val="00BC4BD1"/>
    <w:rsid w:val="00C1191D"/>
    <w:rsid w:val="00C11A3A"/>
    <w:rsid w:val="00C51E1B"/>
    <w:rsid w:val="00C80D6D"/>
    <w:rsid w:val="00D11777"/>
    <w:rsid w:val="00DA78C7"/>
    <w:rsid w:val="00E4689C"/>
    <w:rsid w:val="00EB0B7B"/>
    <w:rsid w:val="00EC1A68"/>
    <w:rsid w:val="00FD4966"/>
    <w:rsid w:val="00FD7DF9"/>
    <w:rsid w:val="00FE1537"/>
    <w:rsid w:val="00FF36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1EDF-A36B-4A8F-BCBF-AB94FED9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Skatteministeriet Grundskabelon</Template>
  <TotalTime>0</TotalTime>
  <Pages>43</Pages>
  <Words>13048</Words>
  <Characters>73334</Characters>
  <Application>Microsoft Office Word</Application>
  <DocSecurity>0</DocSecurity>
  <Lines>2528</Lines>
  <Paragraphs>595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2015-03-09T19:06:00Z</dcterms:created>
  <dcterms:modified xsi:type="dcterms:W3CDTF">2015-03-18T15:34:00Z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Høringsskema med FSR_DIAS (DOK90428929)</vt:lpwstr>
  </property>
  <property fmtid="{D5CDD505-2E9C-101B-9397-08002B2CF9AE}" pid="4" name="path">
    <vt:lpwstr>C:\Users\w17709\AppData\Local\Temp\36\Scanjour\Captia\SJ20150318152320689 [DOK90428929].DOCX</vt:lpwstr>
  </property>
  <property fmtid="{D5CDD505-2E9C-101B-9397-08002B2CF9AE}" pid="5" name="command">
    <vt:lpwstr>&amp;x_infomerge=1</vt:lpwstr>
  </property>
</Properties>
</file>